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265" w:rsidRPr="00AC6D6D" w:rsidRDefault="00B66265" w:rsidP="00AC6D6D">
      <w:pPr>
        <w:pStyle w:val="20"/>
        <w:numPr>
          <w:ilvl w:val="0"/>
          <w:numId w:val="0"/>
        </w:numPr>
        <w:spacing w:before="240" w:after="120" w:line="280" w:lineRule="atLeast"/>
        <w:rPr>
          <w:rFonts w:ascii="Tahoma" w:hAnsi="Tahoma" w:cs="Tahoma"/>
          <w:sz w:val="22"/>
          <w:szCs w:val="22"/>
        </w:rPr>
      </w:pPr>
      <w:bookmarkStart w:id="0" w:name="_Toc400450271"/>
      <w:r w:rsidRPr="00AC6D6D">
        <w:rPr>
          <w:rFonts w:ascii="Tahoma" w:hAnsi="Tahoma" w:cs="Tahoma"/>
          <w:sz w:val="22"/>
          <w:szCs w:val="22"/>
        </w:rPr>
        <w:t>Διαδικασία Δ</w:t>
      </w:r>
      <w:r w:rsidRPr="00AC6D6D">
        <w:rPr>
          <w:rFonts w:ascii="Tahoma" w:hAnsi="Tahoma" w:cs="Tahoma"/>
          <w:sz w:val="22"/>
          <w:szCs w:val="22"/>
          <w:lang w:val="en-US"/>
        </w:rPr>
        <w:t>VII</w:t>
      </w:r>
      <w:r w:rsidRPr="00AC6D6D">
        <w:rPr>
          <w:rFonts w:ascii="Tahoma" w:hAnsi="Tahoma" w:cs="Tahoma"/>
          <w:sz w:val="22"/>
          <w:szCs w:val="22"/>
        </w:rPr>
        <w:t xml:space="preserve">_1: </w:t>
      </w:r>
      <w:bookmarkStart w:id="1" w:name="_Toc403996548"/>
      <w:bookmarkEnd w:id="0"/>
      <w:r w:rsidRPr="00AC6D6D">
        <w:rPr>
          <w:rFonts w:ascii="Tahoma" w:hAnsi="Tahoma" w:cs="Tahoma"/>
          <w:sz w:val="22"/>
          <w:szCs w:val="22"/>
        </w:rPr>
        <w:t xml:space="preserve">Κατάρτιση, πιστοποίηση και υποβολή Αίτησης </w:t>
      </w:r>
      <w:r w:rsidR="00531347">
        <w:rPr>
          <w:rFonts w:ascii="Tahoma" w:hAnsi="Tahoma" w:cs="Tahoma"/>
          <w:sz w:val="22"/>
          <w:szCs w:val="22"/>
        </w:rPr>
        <w:t xml:space="preserve">Ενδιάμεσης </w:t>
      </w:r>
      <w:r w:rsidRPr="00AC6D6D">
        <w:rPr>
          <w:rFonts w:ascii="Tahoma" w:hAnsi="Tahoma" w:cs="Tahoma"/>
          <w:sz w:val="22"/>
          <w:szCs w:val="22"/>
        </w:rPr>
        <w:t>Πληρωμής</w:t>
      </w:r>
      <w:bookmarkEnd w:id="1"/>
      <w:r w:rsidRPr="00AC6D6D">
        <w:rPr>
          <w:rFonts w:ascii="Tahoma" w:hAnsi="Tahoma" w:cs="Tahoma"/>
          <w:sz w:val="22"/>
          <w:szCs w:val="22"/>
        </w:rPr>
        <w:t xml:space="preserve"> </w:t>
      </w:r>
    </w:p>
    <w:p w:rsidR="00B66265" w:rsidRPr="00CB2009" w:rsidRDefault="00B66265" w:rsidP="00AC6D6D">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CB2009">
        <w:rPr>
          <w:rFonts w:ascii="Tahoma" w:hAnsi="Tahoma" w:cs="Tahoma"/>
          <w:b/>
          <w:bCs/>
          <w:color w:val="FFFFFF"/>
          <w:sz w:val="20"/>
          <w:szCs w:val="20"/>
        </w:rPr>
        <w:t xml:space="preserve">1. Σκοπός </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color w:val="000000"/>
          <w:sz w:val="20"/>
          <w:szCs w:val="20"/>
        </w:rPr>
        <w:t xml:space="preserve">Ο σκοπός της διαδικασίας είναι η κατάρτιση και η υποβολή στην Ευρωπαϊκή Επιτροπή, των Αιτήσεων Ενδιάμεσης Πληρωμής και η πιστοποίηση ότι αυτές είναι προϊόν αξιόπιστων λογιστικών συστημάτων, ότι βασίζονται σε επαληθεύσιμα παραστατικά και ότι έχουν αποτελέσει αντικείμενο επαληθεύσεων από τη </w:t>
      </w:r>
      <w:r w:rsidRPr="00481986">
        <w:rPr>
          <w:rFonts w:ascii="Tahoma" w:hAnsi="Tahoma" w:cs="Tahoma"/>
          <w:color w:val="000000"/>
          <w:sz w:val="20"/>
          <w:szCs w:val="20"/>
        </w:rPr>
        <w:t>ΔΑ/ ΕΦ,</w:t>
      </w:r>
      <w:r w:rsidRPr="00AD3D2C">
        <w:rPr>
          <w:rFonts w:ascii="Tahoma" w:hAnsi="Tahoma" w:cs="Tahoma"/>
          <w:color w:val="000000"/>
          <w:sz w:val="20"/>
          <w:szCs w:val="20"/>
        </w:rPr>
        <w:t xml:space="preserve"> σύμφωνα με τα προβλεπόμενα στο άρθρο 126, στοιχείο α) του Καν. 1303/2013, προκειμένου να εισπραχθεί η αναλογούσα κοινοτική συμμετοχή.</w:t>
      </w:r>
    </w:p>
    <w:p w:rsidR="00B66265" w:rsidRPr="00CB2009" w:rsidRDefault="00B66265" w:rsidP="00AC6D6D">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CB2009">
        <w:rPr>
          <w:rFonts w:ascii="Tahoma" w:hAnsi="Tahoma" w:cs="Tahoma"/>
          <w:b/>
          <w:bCs/>
          <w:color w:val="FFFFFF"/>
          <w:sz w:val="20"/>
          <w:szCs w:val="20"/>
        </w:rPr>
        <w:t xml:space="preserve">2. Πεδίο εφαρμογής </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color w:val="000000"/>
          <w:sz w:val="20"/>
          <w:szCs w:val="20"/>
        </w:rPr>
        <w:t>Η διαδικασία εφαρμόζεται σε κάθε Αίτηση Ενδιάμεσης Πληρωμής που υποβάλλεται στην Ευρωπαϊκή Επιτροπή από την Αρχή Πιστοποίησης.</w:t>
      </w:r>
    </w:p>
    <w:p w:rsidR="00B66265" w:rsidRPr="00CB2009" w:rsidRDefault="00B66265" w:rsidP="00AC6D6D">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CB2009">
        <w:rPr>
          <w:rFonts w:ascii="Tahoma" w:hAnsi="Tahoma" w:cs="Tahoma"/>
          <w:b/>
          <w:bCs/>
          <w:color w:val="FFFFFF"/>
          <w:sz w:val="20"/>
          <w:szCs w:val="20"/>
        </w:rPr>
        <w:t xml:space="preserve">3. Θεσμικό Πλαίσιο </w:t>
      </w:r>
    </w:p>
    <w:p w:rsidR="00B66265" w:rsidRPr="00AD3D2C" w:rsidRDefault="00B66265" w:rsidP="00AD3D2C">
      <w:pPr>
        <w:spacing w:after="120" w:line="280" w:lineRule="atLeast"/>
        <w:rPr>
          <w:rFonts w:ascii="Tahoma" w:hAnsi="Tahoma" w:cs="Tahoma"/>
          <w:color w:val="000000"/>
          <w:sz w:val="20"/>
          <w:szCs w:val="20"/>
        </w:rPr>
      </w:pPr>
      <w:r w:rsidRPr="00AD3D2C">
        <w:rPr>
          <w:rFonts w:ascii="Tahoma" w:hAnsi="Tahoma" w:cs="Tahoma"/>
          <w:color w:val="000000"/>
          <w:sz w:val="20"/>
          <w:szCs w:val="20"/>
        </w:rPr>
        <w:t>Κανονισμός (ΕΚ) 1303/2013:</w:t>
      </w:r>
    </w:p>
    <w:p w:rsidR="00B66265" w:rsidRPr="00AD3D2C" w:rsidRDefault="00B66265" w:rsidP="00AD3D2C">
      <w:pPr>
        <w:pStyle w:val="a8"/>
        <w:numPr>
          <w:ilvl w:val="0"/>
          <w:numId w:val="26"/>
        </w:numPr>
        <w:spacing w:after="120" w:line="280" w:lineRule="atLeast"/>
        <w:ind w:left="850" w:hanging="425"/>
        <w:rPr>
          <w:rFonts w:ascii="Tahoma" w:hAnsi="Tahoma" w:cs="Tahoma"/>
          <w:sz w:val="20"/>
          <w:szCs w:val="20"/>
        </w:rPr>
      </w:pPr>
      <w:r w:rsidRPr="00AD3D2C">
        <w:rPr>
          <w:rFonts w:ascii="Tahoma" w:hAnsi="Tahoma" w:cs="Tahoma"/>
          <w:sz w:val="20"/>
          <w:szCs w:val="20"/>
        </w:rPr>
        <w:t>Άρθρο 126, στοιχεία α), δ), ε), στ) και ζ)</w:t>
      </w:r>
    </w:p>
    <w:p w:rsidR="00B66265" w:rsidRPr="00AD3D2C" w:rsidRDefault="00B66265" w:rsidP="00AD3D2C">
      <w:pPr>
        <w:pStyle w:val="a8"/>
        <w:numPr>
          <w:ilvl w:val="0"/>
          <w:numId w:val="26"/>
        </w:numPr>
        <w:spacing w:after="120" w:line="280" w:lineRule="atLeast"/>
        <w:ind w:left="851" w:hanging="425"/>
        <w:rPr>
          <w:rFonts w:ascii="Tahoma" w:hAnsi="Tahoma" w:cs="Tahoma"/>
          <w:sz w:val="20"/>
          <w:szCs w:val="20"/>
        </w:rPr>
      </w:pPr>
      <w:r w:rsidRPr="00AD3D2C">
        <w:rPr>
          <w:rFonts w:ascii="Tahoma" w:hAnsi="Tahoma" w:cs="Tahoma"/>
          <w:sz w:val="20"/>
          <w:szCs w:val="20"/>
        </w:rPr>
        <w:t>Άρθρα 131 και 135</w:t>
      </w:r>
    </w:p>
    <w:p w:rsidR="00B66265" w:rsidRPr="00AD3D2C" w:rsidRDefault="00B66265" w:rsidP="00AD3D2C">
      <w:pPr>
        <w:spacing w:after="120" w:line="280" w:lineRule="atLeast"/>
        <w:rPr>
          <w:rFonts w:ascii="Tahoma" w:hAnsi="Tahoma" w:cs="Tahoma"/>
          <w:color w:val="000000"/>
          <w:sz w:val="20"/>
          <w:szCs w:val="20"/>
        </w:rPr>
      </w:pPr>
      <w:r w:rsidRPr="00AD3D2C">
        <w:rPr>
          <w:rFonts w:ascii="Tahoma" w:hAnsi="Tahoma" w:cs="Tahoma"/>
          <w:color w:val="000000"/>
          <w:sz w:val="20"/>
          <w:szCs w:val="20"/>
        </w:rPr>
        <w:t>Εκτελεστικός Κανονισμός (Εκ) 1011/2014</w:t>
      </w:r>
    </w:p>
    <w:p w:rsidR="00B66265" w:rsidRPr="00AD3D2C" w:rsidRDefault="00B66265" w:rsidP="00AD3D2C">
      <w:pPr>
        <w:pStyle w:val="a8"/>
        <w:numPr>
          <w:ilvl w:val="0"/>
          <w:numId w:val="26"/>
        </w:numPr>
        <w:spacing w:after="120" w:line="280" w:lineRule="atLeast"/>
        <w:ind w:left="850" w:hanging="425"/>
        <w:rPr>
          <w:rFonts w:ascii="Tahoma" w:hAnsi="Tahoma" w:cs="Tahoma"/>
          <w:sz w:val="20"/>
          <w:szCs w:val="20"/>
        </w:rPr>
      </w:pPr>
      <w:r w:rsidRPr="00AD3D2C">
        <w:rPr>
          <w:rFonts w:ascii="Tahoma" w:hAnsi="Tahoma" w:cs="Tahoma"/>
          <w:sz w:val="20"/>
          <w:szCs w:val="20"/>
        </w:rPr>
        <w:t>Άρθρο 6 και Παράρτημα VΙ</w:t>
      </w:r>
      <w:r>
        <w:rPr>
          <w:rFonts w:ascii="Tahoma" w:hAnsi="Tahoma" w:cs="Tahoma"/>
          <w:sz w:val="20"/>
          <w:szCs w:val="20"/>
        </w:rPr>
        <w:t xml:space="preserve"> που αφορά σε Υ</w:t>
      </w:r>
      <w:r w:rsidRPr="00AD3D2C">
        <w:rPr>
          <w:rFonts w:ascii="Tahoma" w:hAnsi="Tahoma" w:cs="Tahoma"/>
          <w:sz w:val="20"/>
          <w:szCs w:val="20"/>
        </w:rPr>
        <w:t xml:space="preserve">πόδειγμα της Αίτησης Πληρωμής </w:t>
      </w:r>
    </w:p>
    <w:p w:rsidR="00B66265" w:rsidRPr="00CB2009" w:rsidRDefault="00B66265" w:rsidP="00AC6D6D">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CB2009">
        <w:rPr>
          <w:rFonts w:ascii="Tahoma" w:hAnsi="Tahoma" w:cs="Tahoma"/>
          <w:b/>
          <w:bCs/>
          <w:color w:val="FFFFFF"/>
          <w:sz w:val="20"/>
          <w:szCs w:val="20"/>
        </w:rPr>
        <w:t xml:space="preserve">4. Περιγραφή </w:t>
      </w:r>
    </w:p>
    <w:p w:rsidR="00B66265" w:rsidRPr="00AD3D2C" w:rsidRDefault="00B66265" w:rsidP="00AD3D2C">
      <w:pPr>
        <w:spacing w:after="120" w:line="280" w:lineRule="atLeast"/>
        <w:rPr>
          <w:rFonts w:ascii="Tahoma" w:hAnsi="Tahoma" w:cs="Tahoma"/>
          <w:color w:val="000000"/>
          <w:sz w:val="20"/>
          <w:szCs w:val="20"/>
        </w:rPr>
      </w:pPr>
      <w:r w:rsidRPr="00AD3D2C">
        <w:rPr>
          <w:rFonts w:ascii="Tahoma" w:hAnsi="Tahoma" w:cs="Tahoma"/>
          <w:color w:val="000000"/>
          <w:sz w:val="20"/>
          <w:szCs w:val="20"/>
        </w:rPr>
        <w:t>Οι Αιτήσεις Ενδιάμεσης Πληρωμής υποβάλλονται στην Επιτροπή σε τακτά χρονικά διαστήματα (άρθρο 135, παρ.1, Καν. 1303/2013). Κατά κανόνα, υποβάλλονται κάθε τρίμηνο και καλύπτουν τα ποσά που εγγράφονται στο λογιστικό σύστημα κατά τη λογιστική χρήση</w:t>
      </w:r>
      <w:r w:rsidR="00610207">
        <w:rPr>
          <w:rStyle w:val="af2"/>
          <w:rFonts w:ascii="Tahoma" w:hAnsi="Tahoma"/>
          <w:color w:val="000000"/>
          <w:sz w:val="20"/>
          <w:szCs w:val="20"/>
        </w:rPr>
        <w:footnoteReference w:id="1"/>
      </w:r>
      <w:r w:rsidRPr="00AD3D2C">
        <w:rPr>
          <w:rFonts w:ascii="Tahoma" w:hAnsi="Tahoma" w:cs="Tahoma"/>
          <w:color w:val="000000"/>
          <w:sz w:val="20"/>
          <w:szCs w:val="20"/>
        </w:rPr>
        <w:t xml:space="preserve">. </w:t>
      </w:r>
      <w:r>
        <w:rPr>
          <w:rFonts w:ascii="Tahoma" w:hAnsi="Tahoma" w:cs="Tahoma"/>
          <w:color w:val="000000"/>
          <w:sz w:val="20"/>
          <w:szCs w:val="20"/>
        </w:rPr>
        <w:t xml:space="preserve">Ωστόσο, η Αρχή Πιστοποίησης, εφόσον το κρίνει αναγκαίο, μπορεί να περιλάβει τα ποσά αυτά σε αιτήσεις πληρωμής που υποβάλλονται σε μεταγενέστερες λογιστικές χρήσεις. </w:t>
      </w:r>
      <w:r w:rsidRPr="00AD3D2C">
        <w:rPr>
          <w:rFonts w:ascii="Tahoma" w:hAnsi="Tahoma" w:cs="Tahoma"/>
          <w:color w:val="000000"/>
          <w:sz w:val="20"/>
          <w:szCs w:val="20"/>
        </w:rPr>
        <w:t>Οι αιτήσεις είναι αθροιστικές εντός της λογιστικής χρήσης, η οποία καλύπτει την περίοδο από την 1η Ιουλίου έως τις 30 Ιουνίου με εξαίρεση την 1η λογιστική χρήση η διάρκεια της οποίας είναι από την 1η Ιανουαρίου 2014 έως τις 30 Ιουνίου 2015.</w:t>
      </w:r>
    </w:p>
    <w:p w:rsidR="00B66265" w:rsidRPr="00AD3D2C" w:rsidRDefault="00B66265" w:rsidP="00AD3D2C">
      <w:pPr>
        <w:spacing w:after="120" w:line="280" w:lineRule="atLeast"/>
        <w:rPr>
          <w:rFonts w:ascii="Tahoma" w:hAnsi="Tahoma" w:cs="Tahoma"/>
          <w:color w:val="000000"/>
          <w:sz w:val="20"/>
          <w:szCs w:val="20"/>
        </w:rPr>
      </w:pPr>
      <w:r w:rsidRPr="00AD3D2C">
        <w:rPr>
          <w:rFonts w:ascii="Tahoma" w:hAnsi="Tahoma" w:cs="Tahoma"/>
          <w:color w:val="000000"/>
          <w:sz w:val="20"/>
          <w:szCs w:val="20"/>
        </w:rPr>
        <w:t>Βασική προϋπόθεση για την άσκηση των αρμοδιοτήτων της Αρχής Πιστοποίησης είναι, να έχει στη διάθεσή της όλες τις απαιτούμενες πληροφορίες που θα οδηγήσουν στην απόκτηση της εύλογης βεβαιότητας για την αξιοπιστία των στοιχείων που πιστοποιούνται στην Ευρωπαϊκή Επιτροπή. Κατά την εφαρμοζόμενη διαδικασία η Αρχή Πιστοποίησης αποκτά ιδίαν αντίληψη τόσο για τα δεδομένα όσο και για τις διαδικασίες που ακολουθούνται, λαμβάνοντας υπόψη και αξιοποιώντας το σύνολο των πληροφοριών που μπορεί να τεθεί στη διάθεσή της.</w:t>
      </w:r>
    </w:p>
    <w:p w:rsidR="00B66265" w:rsidRPr="00AC6D6D" w:rsidRDefault="00B66265" w:rsidP="00AC6D6D">
      <w:pPr>
        <w:pStyle w:val="a8"/>
        <w:keepNext/>
        <w:numPr>
          <w:ilvl w:val="1"/>
          <w:numId w:val="20"/>
        </w:numPr>
        <w:spacing w:before="240" w:after="120" w:line="280" w:lineRule="atLeast"/>
        <w:ind w:left="357" w:hanging="357"/>
        <w:contextualSpacing w:val="0"/>
        <w:rPr>
          <w:rFonts w:ascii="Tahoma" w:hAnsi="Tahoma" w:cs="Tahoma"/>
          <w:b/>
          <w:bCs/>
          <w:color w:val="800000"/>
          <w:sz w:val="20"/>
          <w:szCs w:val="20"/>
        </w:rPr>
      </w:pPr>
      <w:r w:rsidRPr="00AC6D6D">
        <w:rPr>
          <w:rFonts w:ascii="Tahoma" w:hAnsi="Tahoma" w:cs="Tahoma"/>
          <w:b/>
          <w:bCs/>
          <w:color w:val="800000"/>
          <w:sz w:val="20"/>
          <w:szCs w:val="20"/>
        </w:rPr>
        <w:t>Αποστολή εγκυκλίου στις ΔΑ/ΕΦ σε σχέση με την ολοκλήρωση της διοικητικής επαλήθευσης των δαπανών</w:t>
      </w:r>
      <w:r w:rsidRPr="00AD3D2C">
        <w:rPr>
          <w:rFonts w:ascii="Tahoma" w:hAnsi="Tahoma" w:cs="Tahoma"/>
          <w:b/>
          <w:bCs/>
          <w:color w:val="800000"/>
          <w:sz w:val="20"/>
          <w:szCs w:val="20"/>
        </w:rPr>
        <w:t xml:space="preserve"> </w:t>
      </w:r>
      <w:r w:rsidRPr="00AC6D6D">
        <w:rPr>
          <w:rFonts w:ascii="Tahoma" w:hAnsi="Tahoma" w:cs="Tahoma"/>
          <w:b/>
          <w:bCs/>
          <w:color w:val="800000"/>
          <w:sz w:val="20"/>
          <w:szCs w:val="20"/>
        </w:rPr>
        <w:t>-</w:t>
      </w:r>
      <w:r w:rsidRPr="00AD3D2C">
        <w:rPr>
          <w:rFonts w:ascii="Tahoma" w:hAnsi="Tahoma" w:cs="Tahoma"/>
          <w:b/>
          <w:bCs/>
          <w:color w:val="800000"/>
          <w:sz w:val="20"/>
          <w:szCs w:val="20"/>
        </w:rPr>
        <w:t xml:space="preserve"> </w:t>
      </w:r>
      <w:r w:rsidRPr="00AC6D6D">
        <w:rPr>
          <w:rFonts w:ascii="Tahoma" w:hAnsi="Tahoma" w:cs="Tahoma"/>
          <w:b/>
          <w:bCs/>
          <w:color w:val="800000"/>
          <w:sz w:val="20"/>
          <w:szCs w:val="20"/>
        </w:rPr>
        <w:t xml:space="preserve">Ενημέρωση από </w:t>
      </w:r>
      <w:r>
        <w:rPr>
          <w:rFonts w:ascii="Tahoma" w:hAnsi="Tahoma" w:cs="Tahoma"/>
          <w:b/>
          <w:bCs/>
          <w:color w:val="800000"/>
          <w:sz w:val="20"/>
          <w:szCs w:val="20"/>
        </w:rPr>
        <w:t>Αρχή Ελέγχου</w:t>
      </w:r>
    </w:p>
    <w:p w:rsidR="00B66265" w:rsidRDefault="00B66265" w:rsidP="00AD3D2C">
      <w:pPr>
        <w:spacing w:after="120" w:line="280" w:lineRule="atLeast"/>
        <w:rPr>
          <w:rFonts w:ascii="Tahoma" w:hAnsi="Tahoma" w:cs="Tahoma"/>
          <w:color w:val="000000"/>
          <w:sz w:val="20"/>
          <w:szCs w:val="20"/>
        </w:rPr>
      </w:pPr>
      <w:r w:rsidRPr="00AD3D2C">
        <w:rPr>
          <w:rFonts w:ascii="Tahoma" w:hAnsi="Tahoma" w:cs="Tahoma"/>
          <w:color w:val="000000"/>
          <w:sz w:val="20"/>
          <w:szCs w:val="20"/>
        </w:rPr>
        <w:t xml:space="preserve">Η Αρχή Πιστοποίησης συντάσσει και αποστέλλει σχετική εγκύκλιο προς όλες τις </w:t>
      </w:r>
      <w:r w:rsidRPr="00481986">
        <w:rPr>
          <w:rFonts w:ascii="Tahoma" w:hAnsi="Tahoma" w:cs="Tahoma"/>
          <w:color w:val="000000"/>
          <w:sz w:val="20"/>
          <w:szCs w:val="20"/>
        </w:rPr>
        <w:t>ΔΑ/ΕΦ</w:t>
      </w:r>
      <w:r>
        <w:rPr>
          <w:rFonts w:ascii="Tahoma" w:hAnsi="Tahoma" w:cs="Tahoma"/>
          <w:color w:val="000000"/>
          <w:sz w:val="20"/>
          <w:szCs w:val="20"/>
        </w:rPr>
        <w:t xml:space="preserve"> και τους άλλους εμπλεκόμενους φορείς</w:t>
      </w:r>
      <w:r w:rsidRPr="00481986">
        <w:rPr>
          <w:rFonts w:ascii="Tahoma" w:hAnsi="Tahoma" w:cs="Tahoma"/>
          <w:color w:val="000000"/>
          <w:sz w:val="20"/>
          <w:szCs w:val="20"/>
        </w:rPr>
        <w:t>,</w:t>
      </w:r>
      <w:r w:rsidRPr="00AD3D2C">
        <w:rPr>
          <w:rFonts w:ascii="Tahoma" w:hAnsi="Tahoma" w:cs="Tahoma"/>
          <w:color w:val="000000"/>
          <w:sz w:val="20"/>
          <w:szCs w:val="20"/>
        </w:rPr>
        <w:t xml:space="preserve"> με την οποία τους καλεί</w:t>
      </w:r>
      <w:r>
        <w:rPr>
          <w:rFonts w:ascii="Tahoma" w:hAnsi="Tahoma" w:cs="Tahoma"/>
          <w:color w:val="000000"/>
          <w:sz w:val="20"/>
          <w:szCs w:val="20"/>
        </w:rPr>
        <w:t>:</w:t>
      </w:r>
    </w:p>
    <w:p w:rsidR="00B66265" w:rsidRDefault="00B66265" w:rsidP="00AD3D2C">
      <w:pPr>
        <w:spacing w:after="120" w:line="280" w:lineRule="atLeast"/>
        <w:rPr>
          <w:rFonts w:ascii="Tahoma" w:hAnsi="Tahoma" w:cs="Tahoma"/>
          <w:i/>
          <w:color w:val="000000"/>
          <w:sz w:val="20"/>
          <w:szCs w:val="20"/>
        </w:rPr>
      </w:pPr>
      <w:r>
        <w:rPr>
          <w:rFonts w:ascii="Tahoma" w:hAnsi="Tahoma" w:cs="Tahoma"/>
          <w:color w:val="000000"/>
          <w:sz w:val="20"/>
          <w:szCs w:val="20"/>
        </w:rPr>
        <w:t xml:space="preserve">Α) </w:t>
      </w:r>
      <w:r w:rsidRPr="00AD3D2C">
        <w:rPr>
          <w:rFonts w:ascii="Tahoma" w:hAnsi="Tahoma" w:cs="Tahoma"/>
          <w:color w:val="000000"/>
          <w:sz w:val="20"/>
          <w:szCs w:val="20"/>
        </w:rPr>
        <w:t xml:space="preserve"> να προβούν στην ολοκλήρωση της διοικητικής επαλήθευσης των δαπανών (σύμφωνα με όσα ορίζονται στη Διαδικασία </w:t>
      </w:r>
      <w:r w:rsidRPr="00AD3D2C">
        <w:rPr>
          <w:rFonts w:ascii="Tahoma" w:hAnsi="Tahoma" w:cs="Tahoma"/>
          <w:i/>
          <w:color w:val="000000"/>
          <w:sz w:val="20"/>
          <w:szCs w:val="20"/>
        </w:rPr>
        <w:t>ΔΙΙ_5 Διοικητική επαλήθευση (πράξεις πλην ΚΕ)</w:t>
      </w:r>
      <w:r w:rsidRPr="00AD3D2C">
        <w:rPr>
          <w:rFonts w:ascii="Tahoma" w:hAnsi="Tahoma" w:cs="Tahoma"/>
          <w:color w:val="000000"/>
          <w:sz w:val="20"/>
          <w:szCs w:val="20"/>
        </w:rPr>
        <w:t xml:space="preserve"> και στη </w:t>
      </w:r>
      <w:r w:rsidRPr="00AD3D2C">
        <w:rPr>
          <w:rFonts w:ascii="Tahoma" w:hAnsi="Tahoma" w:cs="Tahoma"/>
          <w:i/>
          <w:color w:val="000000"/>
          <w:sz w:val="20"/>
          <w:szCs w:val="20"/>
        </w:rPr>
        <w:t>Διαδικασία ΔΙΙ_7 Διοικητική και επιτόπια επαλήθευση - πιστοποίηση δαπάνης πράξης (πράξεις ΚΕ).</w:t>
      </w:r>
    </w:p>
    <w:p w:rsidR="00B66265" w:rsidRDefault="00B66265" w:rsidP="00AD3D2C">
      <w:pPr>
        <w:spacing w:after="120" w:line="280" w:lineRule="atLeast"/>
        <w:rPr>
          <w:rFonts w:ascii="Tahoma" w:hAnsi="Tahoma" w:cs="Tahoma"/>
          <w:color w:val="000000"/>
          <w:sz w:val="20"/>
          <w:szCs w:val="20"/>
        </w:rPr>
      </w:pPr>
      <w:r>
        <w:rPr>
          <w:rFonts w:ascii="Tahoma" w:hAnsi="Tahoma" w:cs="Tahoma"/>
          <w:i/>
          <w:color w:val="000000"/>
          <w:sz w:val="20"/>
          <w:szCs w:val="20"/>
        </w:rPr>
        <w:lastRenderedPageBreak/>
        <w:t xml:space="preserve">Β) </w:t>
      </w:r>
      <w:r w:rsidRPr="00AD3D2C">
        <w:rPr>
          <w:rFonts w:ascii="Tahoma" w:hAnsi="Tahoma" w:cs="Tahoma"/>
          <w:color w:val="000000"/>
          <w:sz w:val="20"/>
          <w:szCs w:val="20"/>
        </w:rPr>
        <w:t xml:space="preserve"> </w:t>
      </w:r>
      <w:r w:rsidRPr="006E25EA">
        <w:rPr>
          <w:rFonts w:ascii="Tahoma" w:hAnsi="Tahoma" w:cs="Tahoma"/>
          <w:color w:val="000000"/>
          <w:sz w:val="20"/>
          <w:szCs w:val="20"/>
        </w:rPr>
        <w:t xml:space="preserve">να προβούν στην ολοκλήρωση της </w:t>
      </w:r>
      <w:r>
        <w:rPr>
          <w:rFonts w:ascii="Tahoma" w:hAnsi="Tahoma" w:cs="Tahoma"/>
          <w:color w:val="000000"/>
          <w:sz w:val="20"/>
          <w:szCs w:val="20"/>
        </w:rPr>
        <w:t>καταχώρισης στο ΟΠΣ των στοιχείων επιτόπιων επαληθεύσεων</w:t>
      </w:r>
      <w:r w:rsidR="009F6A43">
        <w:rPr>
          <w:rFonts w:ascii="Tahoma" w:hAnsi="Tahoma" w:cs="Tahoma"/>
          <w:color w:val="000000"/>
          <w:sz w:val="20"/>
          <w:szCs w:val="20"/>
        </w:rPr>
        <w:t xml:space="preserve"> αρμοδιότητάς τους</w:t>
      </w:r>
    </w:p>
    <w:p w:rsidR="00B66265" w:rsidRDefault="00361F83" w:rsidP="00AD3D2C">
      <w:pPr>
        <w:spacing w:after="120" w:line="280" w:lineRule="atLeast"/>
        <w:rPr>
          <w:rFonts w:ascii="Tahoma" w:hAnsi="Tahoma" w:cs="Tahoma"/>
          <w:color w:val="000000"/>
          <w:sz w:val="20"/>
          <w:szCs w:val="20"/>
        </w:rPr>
      </w:pPr>
      <w:r>
        <w:rPr>
          <w:rFonts w:ascii="Tahoma" w:hAnsi="Tahoma" w:cs="Tahoma"/>
          <w:color w:val="000000"/>
          <w:sz w:val="20"/>
          <w:szCs w:val="20"/>
        </w:rPr>
        <w:t>Γ)</w:t>
      </w:r>
      <w:r w:rsidR="00ED75DA" w:rsidRPr="000B034B">
        <w:rPr>
          <w:rFonts w:ascii="Tahoma" w:hAnsi="Tahoma" w:cs="Tahoma"/>
          <w:color w:val="000000"/>
          <w:sz w:val="20"/>
          <w:szCs w:val="20"/>
        </w:rPr>
        <w:t xml:space="preserve"> </w:t>
      </w:r>
      <w:r w:rsidR="00ED75DA">
        <w:rPr>
          <w:rFonts w:ascii="Tahoma" w:hAnsi="Tahoma" w:cs="Tahoma"/>
          <w:color w:val="000000"/>
          <w:sz w:val="20"/>
          <w:szCs w:val="20"/>
        </w:rPr>
        <w:t>να προβούν στην ο</w:t>
      </w:r>
      <w:r>
        <w:rPr>
          <w:rFonts w:ascii="Tahoma" w:hAnsi="Tahoma" w:cs="Tahoma"/>
          <w:color w:val="000000"/>
          <w:sz w:val="20"/>
          <w:szCs w:val="20"/>
        </w:rPr>
        <w:t>λοκλήρωση</w:t>
      </w:r>
      <w:r w:rsidR="00B66265" w:rsidRPr="006E25EA">
        <w:rPr>
          <w:rFonts w:ascii="Tahoma" w:hAnsi="Tahoma" w:cs="Tahoma"/>
          <w:color w:val="000000"/>
          <w:sz w:val="20"/>
          <w:szCs w:val="20"/>
        </w:rPr>
        <w:t xml:space="preserve"> </w:t>
      </w:r>
      <w:r w:rsidR="00B66265">
        <w:rPr>
          <w:rFonts w:ascii="Tahoma" w:hAnsi="Tahoma" w:cs="Tahoma"/>
          <w:color w:val="000000"/>
          <w:sz w:val="20"/>
          <w:szCs w:val="20"/>
        </w:rPr>
        <w:t>της καταχώρ</w:t>
      </w:r>
      <w:r w:rsidR="00BE05F1">
        <w:rPr>
          <w:rFonts w:ascii="Tahoma" w:hAnsi="Tahoma" w:cs="Tahoma"/>
          <w:color w:val="000000"/>
          <w:sz w:val="20"/>
          <w:szCs w:val="20"/>
        </w:rPr>
        <w:t>ι</w:t>
      </w:r>
      <w:r w:rsidR="00B66265">
        <w:rPr>
          <w:rFonts w:ascii="Tahoma" w:hAnsi="Tahoma" w:cs="Tahoma"/>
          <w:color w:val="000000"/>
          <w:sz w:val="20"/>
          <w:szCs w:val="20"/>
        </w:rPr>
        <w:t xml:space="preserve">σης των διορθώσεων </w:t>
      </w:r>
      <w:r w:rsidR="00AC6F7A">
        <w:rPr>
          <w:rFonts w:ascii="Tahoma" w:hAnsi="Tahoma" w:cs="Tahoma"/>
          <w:color w:val="000000"/>
          <w:sz w:val="20"/>
          <w:szCs w:val="20"/>
        </w:rPr>
        <w:t xml:space="preserve">(ΔΚΔ) </w:t>
      </w:r>
      <w:r>
        <w:rPr>
          <w:rFonts w:ascii="Tahoma" w:hAnsi="Tahoma" w:cs="Tahoma"/>
          <w:color w:val="000000"/>
          <w:sz w:val="20"/>
          <w:szCs w:val="20"/>
        </w:rPr>
        <w:t xml:space="preserve">συνεπεία </w:t>
      </w:r>
      <w:r w:rsidR="00AC6F7A">
        <w:rPr>
          <w:rFonts w:ascii="Tahoma" w:hAnsi="Tahoma" w:cs="Tahoma"/>
          <w:color w:val="000000"/>
          <w:sz w:val="20"/>
          <w:szCs w:val="20"/>
        </w:rPr>
        <w:t xml:space="preserve">οριστικών </w:t>
      </w:r>
      <w:r>
        <w:rPr>
          <w:rFonts w:ascii="Tahoma" w:hAnsi="Tahoma" w:cs="Tahoma"/>
          <w:color w:val="000000"/>
          <w:sz w:val="20"/>
          <w:szCs w:val="20"/>
        </w:rPr>
        <w:t>επαληθεύσεων και ελέγχων.</w:t>
      </w:r>
    </w:p>
    <w:p w:rsidR="00B66265" w:rsidRPr="00AD3D2C" w:rsidRDefault="00B66265" w:rsidP="00AD3D2C">
      <w:pPr>
        <w:spacing w:after="120" w:line="280" w:lineRule="atLeast"/>
        <w:rPr>
          <w:rFonts w:ascii="Tahoma" w:hAnsi="Tahoma" w:cs="Tahoma"/>
          <w:color w:val="000000"/>
          <w:sz w:val="20"/>
          <w:szCs w:val="20"/>
        </w:rPr>
      </w:pPr>
      <w:r w:rsidRPr="00AD3D2C">
        <w:rPr>
          <w:rFonts w:ascii="Tahoma" w:hAnsi="Tahoma" w:cs="Tahoma"/>
          <w:color w:val="000000"/>
          <w:sz w:val="20"/>
          <w:szCs w:val="20"/>
        </w:rPr>
        <w:t>Στην ίδια εγκύκλιο μπορεί να τεθούν και πρόσθετες υποχρεώσεις πέραν των πάγιων που προκύπτουν από το ισχύον θεσμικό πλαίσιο ή συνεπεία ευρημάτων ελέγχων ή επιθεωρήσεων, καθώς και ενδεικτικό πρόγραμμα δημιουργίας αιτήσεων Ενδιάμεσης Πληρωμής ανά Επιχειρησιακό Πρόγραμμα.</w:t>
      </w:r>
    </w:p>
    <w:p w:rsidR="00B66265" w:rsidRDefault="00B66265" w:rsidP="009D7D74">
      <w:pPr>
        <w:spacing w:after="120" w:line="280" w:lineRule="atLeast"/>
      </w:pPr>
      <w:r w:rsidRPr="00AD3D2C">
        <w:rPr>
          <w:rFonts w:ascii="Tahoma" w:hAnsi="Tahoma" w:cs="Tahoma"/>
          <w:sz w:val="20"/>
          <w:szCs w:val="20"/>
        </w:rPr>
        <w:t xml:space="preserve">Παράλληλα, η Αρχή Πιστοποίησης ζητά ενημέρωση σχετικά με τα αποτελέσματα όλων των λογιστικών ελέγχων που διενεργούνται από την Αρχή Ελέγχου ή υπό την ευθύνη </w:t>
      </w:r>
      <w:r>
        <w:rPr>
          <w:rFonts w:ascii="Tahoma" w:hAnsi="Tahoma" w:cs="Tahoma"/>
          <w:sz w:val="20"/>
          <w:szCs w:val="20"/>
        </w:rPr>
        <w:t xml:space="preserve">της, καθώς και </w:t>
      </w:r>
      <w:r w:rsidRPr="00AB7993">
        <w:rPr>
          <w:rFonts w:ascii="Tahoma" w:hAnsi="Tahoma" w:cs="Tahoma"/>
          <w:sz w:val="20"/>
          <w:szCs w:val="20"/>
        </w:rPr>
        <w:t xml:space="preserve">την ολοκλήρωση της καταχώρισης των </w:t>
      </w:r>
      <w:r>
        <w:rPr>
          <w:rFonts w:ascii="Tahoma" w:hAnsi="Tahoma" w:cs="Tahoma"/>
          <w:sz w:val="20"/>
          <w:szCs w:val="20"/>
        </w:rPr>
        <w:t>στοιχείων των ελέγχων στο ΟΠΣ</w:t>
      </w:r>
      <w:r w:rsidRPr="00AD3D2C">
        <w:rPr>
          <w:rFonts w:ascii="Tahoma" w:hAnsi="Tahoma" w:cs="Tahoma"/>
          <w:sz w:val="20"/>
          <w:szCs w:val="20"/>
        </w:rPr>
        <w:t>.</w:t>
      </w:r>
    </w:p>
    <w:p w:rsidR="00B66265" w:rsidRPr="0024168A" w:rsidRDefault="00B66265" w:rsidP="00AC6D6D">
      <w:pPr>
        <w:pStyle w:val="a8"/>
        <w:keepNext/>
        <w:numPr>
          <w:ilvl w:val="1"/>
          <w:numId w:val="20"/>
        </w:numPr>
        <w:spacing w:before="240" w:after="120" w:line="280" w:lineRule="atLeast"/>
        <w:ind w:left="357" w:hanging="357"/>
        <w:contextualSpacing w:val="0"/>
        <w:rPr>
          <w:rFonts w:ascii="Tahoma" w:hAnsi="Tahoma" w:cs="Tahoma"/>
          <w:b/>
          <w:bCs/>
          <w:color w:val="800000"/>
          <w:sz w:val="20"/>
          <w:szCs w:val="20"/>
        </w:rPr>
      </w:pPr>
      <w:r w:rsidRPr="0024168A">
        <w:rPr>
          <w:rFonts w:ascii="Tahoma" w:hAnsi="Tahoma" w:cs="Tahoma"/>
          <w:b/>
          <w:bCs/>
          <w:color w:val="800000"/>
          <w:sz w:val="20"/>
          <w:szCs w:val="20"/>
        </w:rPr>
        <w:t xml:space="preserve">Διοικητικοί έλεγχοι των στοιχείων της Αίτησης </w:t>
      </w:r>
      <w:r w:rsidR="009F6EDA">
        <w:rPr>
          <w:rFonts w:ascii="Tahoma" w:hAnsi="Tahoma" w:cs="Tahoma"/>
          <w:b/>
          <w:bCs/>
          <w:color w:val="800000"/>
          <w:sz w:val="20"/>
          <w:szCs w:val="20"/>
        </w:rPr>
        <w:t xml:space="preserve">Ενδιάμεσης </w:t>
      </w:r>
      <w:r w:rsidRPr="0024168A">
        <w:rPr>
          <w:rFonts w:ascii="Tahoma" w:hAnsi="Tahoma" w:cs="Tahoma"/>
          <w:b/>
          <w:bCs/>
          <w:color w:val="800000"/>
          <w:sz w:val="20"/>
          <w:szCs w:val="20"/>
        </w:rPr>
        <w:t>Πληρωμής - Πιστοποίηση</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Τα δεδομένα τα οποία χρησιμοποιεί η Αρχή Πιστοποίησης παρέχονται από το ΟΠΣ, το οποίο συνιστά και το λογιστικό σύστημα της Αρχής Πιστοποίησης. Οι κανόνες λειτουργίας του σε ότι αφορά στα στοιχεία τα οποία συμπεριλαμβάνονται αλλά και επηρεάζουν τις Αιτήσεις Πληρωμής έχουν καθορισθεί από την Αρχή Πιστοποίησης.</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Η Αρχή Πιστοποίησης με τον καθορισμό των κανόνων λειτουργίας του ΟΠΣ, διασφαλίζει ότι οι επεξεργασίες από το ΟΠΣ, γίνονται σύμφωνα με τα οριζόμενα στους Κανονισμούς των Διαρθρωτικών Ταμείων και του Ταμείου Συνοχής, προκειμένου αφενός μεν να αποτελεί ένα άρτιο και αποδεκτό λογιστικό σύστημα και αφετέρου να παρέχει πιστή αποτύπωση της διαδρομής ελέγχου.</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Οι εφαρμοζόμενες διαδικασίες οργάνωσης και διαχείρισης των οικονομικών μεγεθών των Πράξεων διασφαλίζουν την ορθότητα και την ακεραιότητα των στοιχείων που περιλαμβάνονται στους σχετικούς πίνακες. Τόσο ο τύπος των τηρούμενων στοιχείων όσο και οι διαδικασίες επεξεργασίας τους εγγυώνται ολοκληρωμένες, διαφανείς και αξιόπιστες πληροφορίες.</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Για το λόγο αυτό στο ΟΠΣ:</w:t>
      </w:r>
    </w:p>
    <w:p w:rsidR="00B66265" w:rsidRPr="00AD3D2C" w:rsidRDefault="00B66265" w:rsidP="00AD3D2C">
      <w:pPr>
        <w:pStyle w:val="a8"/>
        <w:numPr>
          <w:ilvl w:val="0"/>
          <w:numId w:val="28"/>
        </w:numPr>
        <w:spacing w:after="120" w:line="280" w:lineRule="atLeast"/>
        <w:ind w:left="284" w:hanging="284"/>
        <w:rPr>
          <w:rFonts w:ascii="Tahoma" w:hAnsi="Tahoma" w:cs="Tahoma"/>
          <w:sz w:val="20"/>
          <w:szCs w:val="20"/>
        </w:rPr>
      </w:pPr>
      <w:r w:rsidRPr="00AD3D2C">
        <w:rPr>
          <w:rFonts w:ascii="Tahoma" w:hAnsi="Tahoma" w:cs="Tahoma"/>
          <w:sz w:val="20"/>
          <w:szCs w:val="20"/>
        </w:rPr>
        <w:t xml:space="preserve">Αποτυπώνεται το σύνολο των οικονομικών στοιχείων των Πράξεων (πληρωμές - διορθώσεις - </w:t>
      </w:r>
      <w:r w:rsidR="00E261BF">
        <w:rPr>
          <w:rFonts w:ascii="Tahoma" w:hAnsi="Tahoma" w:cs="Tahoma"/>
          <w:sz w:val="20"/>
          <w:szCs w:val="20"/>
        </w:rPr>
        <w:t>αποσύρσεις</w:t>
      </w:r>
      <w:r w:rsidRPr="00AD3D2C">
        <w:rPr>
          <w:rFonts w:ascii="Tahoma" w:hAnsi="Tahoma" w:cs="Tahoma"/>
          <w:sz w:val="20"/>
          <w:szCs w:val="20"/>
        </w:rPr>
        <w:t>) με διακριτές εγγραφές και δεν επιτρέπονται συμψηφισμοί</w:t>
      </w:r>
    </w:p>
    <w:p w:rsidR="00B66265" w:rsidRPr="00AD3D2C" w:rsidRDefault="00B66265" w:rsidP="00AD3D2C">
      <w:pPr>
        <w:pStyle w:val="a8"/>
        <w:numPr>
          <w:ilvl w:val="0"/>
          <w:numId w:val="28"/>
        </w:numPr>
        <w:spacing w:after="120" w:line="280" w:lineRule="atLeast"/>
        <w:ind w:left="284" w:hanging="284"/>
        <w:rPr>
          <w:rFonts w:ascii="Tahoma" w:hAnsi="Tahoma" w:cs="Tahoma"/>
          <w:sz w:val="20"/>
          <w:szCs w:val="20"/>
        </w:rPr>
      </w:pPr>
      <w:r w:rsidRPr="00AD3D2C">
        <w:rPr>
          <w:rFonts w:ascii="Tahoma" w:hAnsi="Tahoma" w:cs="Tahoma"/>
          <w:sz w:val="20"/>
          <w:szCs w:val="20"/>
        </w:rPr>
        <w:t xml:space="preserve">Γίνεται κατηγοριοποίηση των </w:t>
      </w:r>
      <w:r>
        <w:rPr>
          <w:rFonts w:ascii="Tahoma" w:hAnsi="Tahoma" w:cs="Tahoma"/>
          <w:sz w:val="20"/>
          <w:szCs w:val="20"/>
        </w:rPr>
        <w:t>απομειώσεων</w:t>
      </w:r>
      <w:r w:rsidRPr="00AD3D2C">
        <w:rPr>
          <w:rFonts w:ascii="Tahoma" w:hAnsi="Tahoma" w:cs="Tahoma"/>
          <w:sz w:val="20"/>
          <w:szCs w:val="20"/>
        </w:rPr>
        <w:t xml:space="preserve"> στο πλαίσιο της διοικητικής επαλήθευσης</w:t>
      </w:r>
    </w:p>
    <w:p w:rsidR="00B66265" w:rsidRDefault="00003ED7" w:rsidP="00AD3D2C">
      <w:pPr>
        <w:pStyle w:val="a8"/>
        <w:numPr>
          <w:ilvl w:val="0"/>
          <w:numId w:val="28"/>
        </w:numPr>
        <w:spacing w:after="120" w:line="280" w:lineRule="atLeast"/>
        <w:ind w:left="284" w:hanging="284"/>
        <w:rPr>
          <w:rFonts w:ascii="Tahoma" w:hAnsi="Tahoma" w:cs="Tahoma"/>
          <w:sz w:val="20"/>
          <w:szCs w:val="20"/>
        </w:rPr>
      </w:pPr>
      <w:r>
        <w:rPr>
          <w:rFonts w:ascii="Tahoma" w:hAnsi="Tahoma" w:cs="Tahoma"/>
          <w:sz w:val="20"/>
          <w:szCs w:val="20"/>
        </w:rPr>
        <w:t>Καταγράφον</w:t>
      </w:r>
      <w:r w:rsidR="00B66265">
        <w:rPr>
          <w:rFonts w:ascii="Tahoma" w:hAnsi="Tahoma" w:cs="Tahoma"/>
          <w:sz w:val="20"/>
          <w:szCs w:val="20"/>
        </w:rPr>
        <w:t xml:space="preserve">ται </w:t>
      </w:r>
      <w:r>
        <w:rPr>
          <w:rFonts w:ascii="Tahoma" w:hAnsi="Tahoma" w:cs="Tahoma"/>
          <w:sz w:val="20"/>
          <w:szCs w:val="20"/>
        </w:rPr>
        <w:t>τα απαραίτητα στοιχεία επαληθεύσεων</w:t>
      </w:r>
      <w:r w:rsidR="00E55197">
        <w:rPr>
          <w:rFonts w:ascii="Tahoma" w:hAnsi="Tahoma" w:cs="Tahoma"/>
          <w:sz w:val="20"/>
          <w:szCs w:val="20"/>
        </w:rPr>
        <w:t xml:space="preserve"> της ΔΑ</w:t>
      </w:r>
      <w:r>
        <w:rPr>
          <w:rFonts w:ascii="Tahoma" w:hAnsi="Tahoma" w:cs="Tahoma"/>
          <w:sz w:val="20"/>
          <w:szCs w:val="20"/>
        </w:rPr>
        <w:t>, επιθεωρήσεων</w:t>
      </w:r>
      <w:r w:rsidR="00E55197">
        <w:rPr>
          <w:rFonts w:ascii="Tahoma" w:hAnsi="Tahoma" w:cs="Tahoma"/>
          <w:sz w:val="20"/>
          <w:szCs w:val="20"/>
        </w:rPr>
        <w:t xml:space="preserve"> της Αρχής Πιστοποίησης</w:t>
      </w:r>
      <w:r w:rsidR="00B66265">
        <w:rPr>
          <w:rFonts w:ascii="Tahoma" w:hAnsi="Tahoma" w:cs="Tahoma"/>
          <w:sz w:val="20"/>
          <w:szCs w:val="20"/>
        </w:rPr>
        <w:t xml:space="preserve"> και ελέγχων </w:t>
      </w:r>
      <w:r w:rsidR="00B66265" w:rsidRPr="00AD3D2C">
        <w:rPr>
          <w:rFonts w:ascii="Tahoma" w:hAnsi="Tahoma" w:cs="Tahoma"/>
          <w:sz w:val="20"/>
          <w:szCs w:val="20"/>
        </w:rPr>
        <w:t xml:space="preserve">όλων των ελεγκτικών οργάνων και τα αποτελέσματα αυτών και γίνεται αποτύπωση και κατηγοριοποίηση </w:t>
      </w:r>
      <w:r>
        <w:rPr>
          <w:rFonts w:ascii="Tahoma" w:hAnsi="Tahoma" w:cs="Tahoma"/>
          <w:sz w:val="20"/>
          <w:szCs w:val="20"/>
        </w:rPr>
        <w:t xml:space="preserve">των σχετικών </w:t>
      </w:r>
      <w:r w:rsidR="00B66265" w:rsidRPr="00AD3D2C">
        <w:rPr>
          <w:rFonts w:ascii="Tahoma" w:hAnsi="Tahoma" w:cs="Tahoma"/>
          <w:sz w:val="20"/>
          <w:szCs w:val="20"/>
        </w:rPr>
        <w:t>διορθώσεων</w:t>
      </w:r>
    </w:p>
    <w:p w:rsidR="00B66265" w:rsidRDefault="00B66265" w:rsidP="00AD3D2C">
      <w:pPr>
        <w:spacing w:after="120" w:line="280" w:lineRule="atLeast"/>
        <w:rPr>
          <w:rFonts w:ascii="Tahoma" w:hAnsi="Tahoma" w:cs="Tahoma"/>
          <w:sz w:val="20"/>
          <w:szCs w:val="20"/>
        </w:rPr>
      </w:pPr>
      <w:r w:rsidRPr="00AD3D2C">
        <w:rPr>
          <w:rFonts w:ascii="Tahoma" w:hAnsi="Tahoma" w:cs="Tahoma"/>
          <w:sz w:val="20"/>
          <w:szCs w:val="20"/>
        </w:rPr>
        <w:t>Την ευθύνη για την ορθότητα και την κα</w:t>
      </w:r>
      <w:r w:rsidR="00CB1844">
        <w:rPr>
          <w:rFonts w:ascii="Tahoma" w:hAnsi="Tahoma" w:cs="Tahoma"/>
          <w:sz w:val="20"/>
          <w:szCs w:val="20"/>
        </w:rPr>
        <w:t>ταχώρ</w:t>
      </w:r>
      <w:r w:rsidR="00BE05F1">
        <w:rPr>
          <w:rFonts w:ascii="Tahoma" w:hAnsi="Tahoma" w:cs="Tahoma"/>
          <w:sz w:val="20"/>
          <w:szCs w:val="20"/>
        </w:rPr>
        <w:t>ι</w:t>
      </w:r>
      <w:r w:rsidR="00CB1844">
        <w:rPr>
          <w:rFonts w:ascii="Tahoma" w:hAnsi="Tahoma" w:cs="Tahoma"/>
          <w:sz w:val="20"/>
          <w:szCs w:val="20"/>
        </w:rPr>
        <w:t>ση των στοιχείων δαπανών</w:t>
      </w:r>
      <w:r w:rsidRPr="00AD3D2C">
        <w:rPr>
          <w:rFonts w:ascii="Tahoma" w:hAnsi="Tahoma" w:cs="Tahoma"/>
          <w:sz w:val="20"/>
          <w:szCs w:val="20"/>
        </w:rPr>
        <w:t xml:space="preserve"> και διορθώσεων στο ΟΠΣ την έχουν οι αρμόδιες </w:t>
      </w:r>
      <w:r>
        <w:rPr>
          <w:rFonts w:ascii="Tahoma" w:hAnsi="Tahoma" w:cs="Tahoma"/>
          <w:sz w:val="20"/>
          <w:szCs w:val="20"/>
        </w:rPr>
        <w:t>ΔΑ</w:t>
      </w:r>
      <w:r w:rsidRPr="007972FE">
        <w:rPr>
          <w:rFonts w:ascii="Tahoma" w:hAnsi="Tahoma" w:cs="Tahoma"/>
          <w:sz w:val="20"/>
          <w:szCs w:val="20"/>
        </w:rPr>
        <w:t xml:space="preserve">/ </w:t>
      </w:r>
      <w:r w:rsidRPr="00481986">
        <w:rPr>
          <w:rFonts w:ascii="Tahoma" w:hAnsi="Tahoma" w:cs="Tahoma"/>
          <w:sz w:val="20"/>
          <w:szCs w:val="20"/>
        </w:rPr>
        <w:t>ΕΦ</w:t>
      </w:r>
      <w:r w:rsidRPr="00AD3D2C">
        <w:rPr>
          <w:rFonts w:ascii="Tahoma" w:hAnsi="Tahoma" w:cs="Tahoma"/>
          <w:sz w:val="20"/>
          <w:szCs w:val="20"/>
        </w:rPr>
        <w:t>.</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Μέσω της οργάνωσης των δεδομένων, των αρχών λειτουργίας, της τήρησης των χρόνων ενημέρωσης του ΟΠΣ και των αυτόματων ελέγχων διασφαλίζεται (ενδεικτικά και όχι περιοριστικά):</w:t>
      </w:r>
    </w:p>
    <w:p w:rsidR="00B66265" w:rsidRPr="00AD3D2C" w:rsidRDefault="00B66265" w:rsidP="00AD3D2C">
      <w:pPr>
        <w:pStyle w:val="a8"/>
        <w:numPr>
          <w:ilvl w:val="0"/>
          <w:numId w:val="29"/>
        </w:numPr>
        <w:spacing w:after="120" w:line="280" w:lineRule="atLeast"/>
        <w:ind w:left="425" w:hanging="425"/>
        <w:rPr>
          <w:rFonts w:ascii="Tahoma" w:hAnsi="Tahoma" w:cs="Tahoma"/>
          <w:sz w:val="20"/>
          <w:szCs w:val="20"/>
        </w:rPr>
      </w:pPr>
      <w:r w:rsidRPr="00AD3D2C">
        <w:rPr>
          <w:rFonts w:ascii="Tahoma" w:hAnsi="Tahoma" w:cs="Tahoma"/>
          <w:sz w:val="20"/>
          <w:szCs w:val="20"/>
        </w:rPr>
        <w:t xml:space="preserve">Ότι οι δαπάνες που έχουν πιστοποιηθεί στο ΟΠΣ από τις </w:t>
      </w:r>
      <w:r>
        <w:rPr>
          <w:rFonts w:ascii="Tahoma" w:hAnsi="Tahoma" w:cs="Tahoma"/>
          <w:sz w:val="20"/>
          <w:szCs w:val="20"/>
        </w:rPr>
        <w:t>ΔΑ</w:t>
      </w:r>
      <w:r w:rsidRPr="007972FE">
        <w:rPr>
          <w:rFonts w:ascii="Tahoma" w:hAnsi="Tahoma" w:cs="Tahoma"/>
          <w:sz w:val="20"/>
          <w:szCs w:val="20"/>
        </w:rPr>
        <w:t xml:space="preserve">/ </w:t>
      </w:r>
      <w:r w:rsidRPr="00481986">
        <w:rPr>
          <w:rFonts w:ascii="Tahoma" w:hAnsi="Tahoma" w:cs="Tahoma"/>
          <w:sz w:val="20"/>
          <w:szCs w:val="20"/>
        </w:rPr>
        <w:t>ΕΦ</w:t>
      </w:r>
      <w:r w:rsidRPr="00AD3D2C">
        <w:rPr>
          <w:rFonts w:ascii="Tahoma" w:hAnsi="Tahoma" w:cs="Tahoma"/>
          <w:sz w:val="20"/>
          <w:szCs w:val="20"/>
        </w:rPr>
        <w:t xml:space="preserve"> είναι εντός της προβλεπόμενης περιόδου επιλεξιμότητας</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Ότι οι δαπάνες δεν αφορούν σε Πράξεις που έχουν ολοκληρωθεί πριν ο Δικαιούχος υποβάλλει αίτημα χρηματοδότησης της Πράξης</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Η αυτοτέλεια των λογιστικών χρήσεων τόσο σε ότι αφορά στην καταχώρ</w:t>
      </w:r>
      <w:r w:rsidR="00BE05F1">
        <w:rPr>
          <w:rFonts w:ascii="Tahoma" w:hAnsi="Tahoma" w:cs="Tahoma"/>
          <w:sz w:val="20"/>
          <w:szCs w:val="20"/>
        </w:rPr>
        <w:t>ι</w:t>
      </w:r>
      <w:r w:rsidRPr="00AD3D2C">
        <w:rPr>
          <w:rFonts w:ascii="Tahoma" w:hAnsi="Tahoma" w:cs="Tahoma"/>
          <w:sz w:val="20"/>
          <w:szCs w:val="20"/>
        </w:rPr>
        <w:t>ση των δαπανών όσο και των διορθώσεων και εξαιρέσεων</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Η πιστή αποτύπωση της διαδρομής ελέγχου, η διάκριση των εγγραφών ανά είδος δαπάνης, όπως: δαπάνες που πραγματοποιούν οι Δικαιούχοι με βάση τιμολόγια, τυποποιημένες κλίμακες κόστους κατά μονάδα, κατ’ αποκοπή ποσά που δεν υπερβαίνουν τις 100.000€, κατ’ αποκοπή ποσά με την εφαρμογή ποσοστού, κατ’ αποκοπή ποσά του άρθρου 68 του Καν.1303/2013, εισφορές σε είδος, πληρωμές Δικαιούχου κοινού σχεδίου δράσης, προκαταβολές κρατικών ενισχύσεων, πληρωμές και δαπάνες μέσων χρηματοοικονομικής τεχνικής</w:t>
      </w:r>
      <w:r>
        <w:rPr>
          <w:rFonts w:ascii="Tahoma" w:hAnsi="Tahoma" w:cs="Tahoma"/>
          <w:sz w:val="20"/>
          <w:szCs w:val="20"/>
        </w:rPr>
        <w:t xml:space="preserve"> </w:t>
      </w:r>
      <w:r w:rsidRPr="006C348C">
        <w:rPr>
          <w:rFonts w:ascii="Tahoma" w:hAnsi="Tahoma" w:cs="Tahoma"/>
          <w:color w:val="FF0000"/>
          <w:sz w:val="20"/>
          <w:szCs w:val="20"/>
        </w:rPr>
        <w:t xml:space="preserve"> </w:t>
      </w:r>
    </w:p>
    <w:p w:rsidR="00B66265" w:rsidRPr="00AD3D2C" w:rsidRDefault="00B66265" w:rsidP="00B55A4A">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lastRenderedPageBreak/>
        <w:t>Ότι στις περιπτώσεις καταχώρ</w:t>
      </w:r>
      <w:r w:rsidR="00BE05F1">
        <w:rPr>
          <w:rFonts w:ascii="Tahoma" w:hAnsi="Tahoma" w:cs="Tahoma"/>
          <w:sz w:val="20"/>
          <w:szCs w:val="20"/>
        </w:rPr>
        <w:t>ι</w:t>
      </w:r>
      <w:r w:rsidRPr="00AD3D2C">
        <w:rPr>
          <w:rFonts w:ascii="Tahoma" w:hAnsi="Tahoma" w:cs="Tahoma"/>
          <w:sz w:val="20"/>
          <w:szCs w:val="20"/>
        </w:rPr>
        <w:t xml:space="preserve">σης δαπανών σε δράσεις όπου παρεμβαίνουν πολλοί φορείς, ορίζονται κανόνες, αποτυπώνονται στο ΟΠΣ και ελέγχεται η τήρησή </w:t>
      </w:r>
      <w:r>
        <w:rPr>
          <w:rFonts w:ascii="Tahoma" w:hAnsi="Tahoma" w:cs="Tahoma"/>
          <w:sz w:val="20"/>
          <w:szCs w:val="20"/>
        </w:rPr>
        <w:t xml:space="preserve">τους </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Ότι στις περιπτώσεις διασυνδεδεμένων συστημάτων διασφαλίζεται η τήρηση των κανόνων του ΟΠΣ στη λειτουργία των διασυνδεδεμένων συστημάτων. Το παραπάνω αφορά κυρίως τα στοιχεία που μεταφέρονται από τα διασυνδεδεμένα συστήματα στο ΟΠΣ</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Ο έλεγχος της επιλεξιμότητας των προκαταβολών κρατικών ενισχύσεων</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Η τήρηση των χρηματοδοτικών κανόνων των μέσων χρηματοοικονομικής τεχνικής</w:t>
      </w:r>
    </w:p>
    <w:p w:rsidR="00B66265" w:rsidRPr="0004182E"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Η τήρηση των ειδικών απαιτήσεων των Διαρθρωτικών Ταμείων</w:t>
      </w:r>
      <w:r>
        <w:rPr>
          <w:rFonts w:ascii="Tahoma" w:hAnsi="Tahoma" w:cs="Tahoma"/>
          <w:sz w:val="20"/>
          <w:szCs w:val="20"/>
        </w:rPr>
        <w:t xml:space="preserve"> </w:t>
      </w:r>
      <w:r w:rsidRPr="0004182E">
        <w:rPr>
          <w:rFonts w:ascii="Tahoma" w:hAnsi="Tahoma" w:cs="Tahoma"/>
          <w:sz w:val="20"/>
          <w:szCs w:val="20"/>
        </w:rPr>
        <w:t>και του Ταμείου Συνοχής</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Ο χαρακτηρισμός των μεγάλων έργων και η συμβατότητα των δαπανών τους με τις αντίστοιχες αιτήσεις ή εγκρίσεις μεγάλων έργων</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Ο χαρακτηρισμός των Πράξεων που αποτελούν συνέχεια από προηγούμενη περίοδο (facing)</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Η σύνδεση της αποσυρθείσας δαπάνης μεταξύ της ημερομηνίας πληρωμής, ημερομηνίας λογιστικοποίησης και α/α και ημερομηνίας αίτησης πληρωμής στην Ευρωπαϊκή Επιτροπή</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Η παρακολούθηση της κατάστασης των εισηγήσεων διορθώσεων, συνεπεία ελέγχων όλων των ελεγκτικών οργάνων</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Ότι υπάρχει γνώμη της Αρχής Ελέγχου χωρίς επιφυλάξεις για την αξιολόγηση του ΣΔΕ και ετήσια έκθεση ελέγχου</w:t>
      </w:r>
    </w:p>
    <w:p w:rsidR="00B66265" w:rsidRPr="00AD3D2C" w:rsidRDefault="00B66265" w:rsidP="00AD3D2C">
      <w:pPr>
        <w:pStyle w:val="a8"/>
        <w:numPr>
          <w:ilvl w:val="0"/>
          <w:numId w:val="29"/>
        </w:numPr>
        <w:spacing w:after="120" w:line="280" w:lineRule="atLeast"/>
        <w:ind w:left="426" w:hanging="426"/>
        <w:rPr>
          <w:rFonts w:ascii="Tahoma" w:hAnsi="Tahoma" w:cs="Tahoma"/>
          <w:sz w:val="20"/>
          <w:szCs w:val="20"/>
        </w:rPr>
      </w:pPr>
      <w:r w:rsidRPr="00AD3D2C">
        <w:rPr>
          <w:rFonts w:ascii="Tahoma" w:hAnsi="Tahoma" w:cs="Tahoma"/>
          <w:sz w:val="20"/>
          <w:szCs w:val="20"/>
        </w:rPr>
        <w:t>Ότι έχει αποσταλεί στην Επιτροπή η προβλεπόμενη ετήσια έκθεση υλοποίησης από την αρμόδια ΔΑ.</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Για την εφαρμογή του άρθρου 126, παρ. </w:t>
      </w:r>
      <w:r w:rsidR="005317D1">
        <w:rPr>
          <w:rFonts w:ascii="Tahoma" w:hAnsi="Tahoma" w:cs="Tahoma"/>
          <w:sz w:val="20"/>
          <w:szCs w:val="20"/>
        </w:rPr>
        <w:t>α</w:t>
      </w:r>
      <w:r w:rsidRPr="00AD3D2C">
        <w:rPr>
          <w:rFonts w:ascii="Tahoma" w:hAnsi="Tahoma" w:cs="Tahoma"/>
          <w:sz w:val="20"/>
          <w:szCs w:val="20"/>
        </w:rPr>
        <w:t>, του Καν. 1303/2013, και πριν την πιστοποίηση της Ενδιάμεσης Αίτησης, πέραν των αυτόματων ελέγχων που πραγματοποιούνται από το ΟΠΣ, η Αρχή Πιστοποίησης προβαίνει σε μία σειρά επαληθεύσεων που επιτυγχάνεται με:</w:t>
      </w:r>
    </w:p>
    <w:p w:rsidR="00B66265" w:rsidRPr="00AD3D2C" w:rsidRDefault="00B66265" w:rsidP="00AD3D2C">
      <w:pPr>
        <w:pStyle w:val="a8"/>
        <w:numPr>
          <w:ilvl w:val="0"/>
          <w:numId w:val="28"/>
        </w:numPr>
        <w:spacing w:after="120" w:line="280" w:lineRule="atLeast"/>
        <w:ind w:left="284" w:hanging="284"/>
        <w:contextualSpacing w:val="0"/>
        <w:rPr>
          <w:rFonts w:ascii="Tahoma" w:hAnsi="Tahoma" w:cs="Tahoma"/>
          <w:sz w:val="20"/>
          <w:szCs w:val="20"/>
        </w:rPr>
      </w:pPr>
      <w:r w:rsidRPr="00AD3D2C">
        <w:rPr>
          <w:rFonts w:ascii="Tahoma" w:hAnsi="Tahoma" w:cs="Tahoma"/>
          <w:sz w:val="20"/>
          <w:szCs w:val="20"/>
        </w:rPr>
        <w:t>Τη βοήθεια ειδικών αναφορών μέσω ΟΠΣ, με τη χρήση παραμέτρων που επιτρέπουν την αναγνώριση τυχόν αστοχιών στα καταχωρηθέντα στοιχεία, που αφορούν στην πληρότητα, ποιότητα, ακρίβεια αλλά και επιλεξιμότητα των δαπανών</w:t>
      </w:r>
      <w:r w:rsidR="009A0CD1">
        <w:rPr>
          <w:rFonts w:ascii="Tahoma" w:hAnsi="Tahoma" w:cs="Tahoma"/>
          <w:sz w:val="20"/>
          <w:szCs w:val="20"/>
        </w:rPr>
        <w:t>.</w:t>
      </w:r>
    </w:p>
    <w:p w:rsidR="00B66265" w:rsidRPr="00AD3D2C" w:rsidRDefault="00B66265" w:rsidP="00AD3D2C">
      <w:pPr>
        <w:pStyle w:val="a8"/>
        <w:numPr>
          <w:ilvl w:val="0"/>
          <w:numId w:val="28"/>
        </w:numPr>
        <w:spacing w:after="120" w:line="280" w:lineRule="atLeast"/>
        <w:ind w:left="284" w:hanging="284"/>
        <w:contextualSpacing w:val="0"/>
        <w:rPr>
          <w:rFonts w:ascii="Tahoma" w:hAnsi="Tahoma" w:cs="Tahoma"/>
          <w:sz w:val="20"/>
          <w:szCs w:val="20"/>
        </w:rPr>
      </w:pPr>
      <w:r w:rsidRPr="00AD3D2C">
        <w:rPr>
          <w:rFonts w:ascii="Tahoma" w:hAnsi="Tahoma" w:cs="Tahoma"/>
          <w:sz w:val="20"/>
          <w:szCs w:val="20"/>
        </w:rPr>
        <w:t>Διασταύρωση στοιχείων. Η Αρχή Πιστοποίησης προβαίνει σε διασταύρωση των δαπανών του κάθε Επιχειρησιακού Προγράμματος που καταχωρί</w:t>
      </w:r>
      <w:r w:rsidR="00CC1FAE">
        <w:rPr>
          <w:rFonts w:ascii="Tahoma" w:hAnsi="Tahoma" w:cs="Tahoma"/>
          <w:sz w:val="20"/>
          <w:szCs w:val="20"/>
        </w:rPr>
        <w:t>ζ</w:t>
      </w:r>
      <w:r w:rsidR="00E01F89">
        <w:rPr>
          <w:rFonts w:ascii="Tahoma" w:hAnsi="Tahoma" w:cs="Tahoma"/>
          <w:sz w:val="20"/>
          <w:szCs w:val="20"/>
        </w:rPr>
        <w:t>ον</w:t>
      </w:r>
      <w:r w:rsidRPr="00AD3D2C">
        <w:rPr>
          <w:rFonts w:ascii="Tahoma" w:hAnsi="Tahoma" w:cs="Tahoma"/>
          <w:sz w:val="20"/>
          <w:szCs w:val="20"/>
        </w:rPr>
        <w:t>ται στο ΟΠΣ</w:t>
      </w:r>
      <w:r w:rsidR="00E01F89">
        <w:rPr>
          <w:rFonts w:ascii="Tahoma" w:hAnsi="Tahoma" w:cs="Tahoma"/>
          <w:sz w:val="20"/>
          <w:szCs w:val="20"/>
        </w:rPr>
        <w:t xml:space="preserve"> με τυχαία δειγματοληψία.</w:t>
      </w:r>
    </w:p>
    <w:p w:rsidR="00B66265" w:rsidRPr="00AD3D2C" w:rsidRDefault="00B66265" w:rsidP="00AD3D2C">
      <w:pPr>
        <w:pStyle w:val="a8"/>
        <w:numPr>
          <w:ilvl w:val="0"/>
          <w:numId w:val="28"/>
        </w:numPr>
        <w:spacing w:after="120" w:line="280" w:lineRule="atLeast"/>
        <w:ind w:left="284" w:hanging="284"/>
        <w:rPr>
          <w:rFonts w:ascii="Tahoma" w:hAnsi="Tahoma" w:cs="Tahoma"/>
          <w:sz w:val="20"/>
          <w:szCs w:val="20"/>
        </w:rPr>
      </w:pPr>
      <w:r w:rsidRPr="00AD3D2C">
        <w:rPr>
          <w:rFonts w:ascii="Tahoma" w:hAnsi="Tahoma" w:cs="Tahoma"/>
          <w:sz w:val="20"/>
          <w:szCs w:val="20"/>
        </w:rPr>
        <w:t>Την επιβεβαίωση της καταχώρ</w:t>
      </w:r>
      <w:r w:rsidR="00BE05F1">
        <w:rPr>
          <w:rFonts w:ascii="Tahoma" w:hAnsi="Tahoma" w:cs="Tahoma"/>
          <w:sz w:val="20"/>
          <w:szCs w:val="20"/>
        </w:rPr>
        <w:t>ι</w:t>
      </w:r>
      <w:r w:rsidRPr="00AD3D2C">
        <w:rPr>
          <w:rFonts w:ascii="Tahoma" w:hAnsi="Tahoma" w:cs="Tahoma"/>
          <w:sz w:val="20"/>
          <w:szCs w:val="20"/>
        </w:rPr>
        <w:t xml:space="preserve">σης αλλά και της ορθής αποτύπωσης των διορθώσεων συνεπεία </w:t>
      </w:r>
      <w:r w:rsidRPr="00843ED4">
        <w:rPr>
          <w:rFonts w:ascii="Tahoma" w:hAnsi="Tahoma" w:cs="Tahoma"/>
          <w:sz w:val="20"/>
          <w:szCs w:val="20"/>
        </w:rPr>
        <w:t>επαληθεύσεων,</w:t>
      </w:r>
      <w:r w:rsidRPr="00AD3D2C">
        <w:rPr>
          <w:rFonts w:ascii="Tahoma" w:hAnsi="Tahoma" w:cs="Tahoma"/>
          <w:sz w:val="20"/>
          <w:szCs w:val="20"/>
        </w:rPr>
        <w:t xml:space="preserve"> ελέγχων και επιθεωρήσεων αλλά και των εξαιρέσεων στην περίπτωση μη οριστικοποιημένων ελέγχων και ειδικότερα:</w:t>
      </w:r>
    </w:p>
    <w:p w:rsidR="00B66265" w:rsidRPr="00843ED4" w:rsidRDefault="00B66265" w:rsidP="00AD3D2C">
      <w:pPr>
        <w:pStyle w:val="a8"/>
        <w:numPr>
          <w:ilvl w:val="0"/>
          <w:numId w:val="21"/>
        </w:numPr>
        <w:spacing w:after="120" w:line="280" w:lineRule="atLeast"/>
        <w:ind w:left="714" w:hanging="357"/>
        <w:rPr>
          <w:rFonts w:ascii="Tahoma" w:hAnsi="Tahoma" w:cs="Tahoma"/>
          <w:sz w:val="20"/>
          <w:szCs w:val="20"/>
        </w:rPr>
      </w:pPr>
      <w:r w:rsidRPr="00843ED4">
        <w:rPr>
          <w:rFonts w:ascii="Tahoma" w:hAnsi="Tahoma" w:cs="Tahoma"/>
          <w:sz w:val="20"/>
          <w:szCs w:val="20"/>
        </w:rPr>
        <w:t>των επιτόπιων επαληθεύσεων που διενεργούνται</w:t>
      </w:r>
      <w:r>
        <w:rPr>
          <w:rFonts w:ascii="Tahoma" w:hAnsi="Tahoma" w:cs="Tahoma"/>
          <w:sz w:val="20"/>
          <w:szCs w:val="20"/>
        </w:rPr>
        <w:t xml:space="preserve"> από την αρμόδια</w:t>
      </w:r>
      <w:r w:rsidRPr="00843ED4">
        <w:rPr>
          <w:rFonts w:ascii="Tahoma" w:hAnsi="Tahoma" w:cs="Tahoma"/>
          <w:sz w:val="20"/>
          <w:szCs w:val="20"/>
        </w:rPr>
        <w:t xml:space="preserve"> ΔΑ/ ΕΦ</w:t>
      </w:r>
    </w:p>
    <w:p w:rsidR="00B66265" w:rsidRPr="00AD3D2C" w:rsidRDefault="00B66265" w:rsidP="00AD3D2C">
      <w:pPr>
        <w:pStyle w:val="a8"/>
        <w:numPr>
          <w:ilvl w:val="0"/>
          <w:numId w:val="21"/>
        </w:numPr>
        <w:spacing w:after="120" w:line="280" w:lineRule="atLeast"/>
        <w:rPr>
          <w:rFonts w:ascii="Tahoma" w:hAnsi="Tahoma" w:cs="Tahoma"/>
          <w:sz w:val="20"/>
          <w:szCs w:val="20"/>
        </w:rPr>
      </w:pPr>
      <w:r w:rsidRPr="00AD3D2C">
        <w:rPr>
          <w:rFonts w:ascii="Tahoma" w:hAnsi="Tahoma" w:cs="Tahoma"/>
          <w:sz w:val="20"/>
          <w:szCs w:val="20"/>
        </w:rPr>
        <w:t>των εκθέσεων ελέγχου που διενεργούνται από την Αρχή Ελέγχου και άλλ</w:t>
      </w:r>
      <w:r>
        <w:rPr>
          <w:rFonts w:ascii="Tahoma" w:hAnsi="Tahoma" w:cs="Tahoma"/>
          <w:sz w:val="20"/>
          <w:szCs w:val="20"/>
        </w:rPr>
        <w:t>ες ελεγκτικές</w:t>
      </w:r>
      <w:r w:rsidRPr="00AD3D2C">
        <w:rPr>
          <w:rFonts w:ascii="Tahoma" w:hAnsi="Tahoma" w:cs="Tahoma"/>
          <w:sz w:val="20"/>
          <w:szCs w:val="20"/>
        </w:rPr>
        <w:t xml:space="preserve"> </w:t>
      </w:r>
      <w:r>
        <w:rPr>
          <w:rFonts w:ascii="Tahoma" w:hAnsi="Tahoma" w:cs="Tahoma"/>
          <w:sz w:val="20"/>
          <w:szCs w:val="20"/>
        </w:rPr>
        <w:t xml:space="preserve">αρχές/ </w:t>
      </w:r>
      <w:r w:rsidRPr="00AD3D2C">
        <w:rPr>
          <w:rFonts w:ascii="Tahoma" w:hAnsi="Tahoma" w:cs="Tahoma"/>
          <w:sz w:val="20"/>
          <w:szCs w:val="20"/>
        </w:rPr>
        <w:t>όργανα</w:t>
      </w:r>
    </w:p>
    <w:p w:rsidR="00B66265" w:rsidRPr="00AD3D2C" w:rsidRDefault="00B66265" w:rsidP="00AD3D2C">
      <w:pPr>
        <w:pStyle w:val="a8"/>
        <w:numPr>
          <w:ilvl w:val="0"/>
          <w:numId w:val="21"/>
        </w:numPr>
        <w:spacing w:after="120" w:line="280" w:lineRule="atLeast"/>
        <w:rPr>
          <w:rFonts w:ascii="Tahoma" w:hAnsi="Tahoma" w:cs="Tahoma"/>
          <w:sz w:val="20"/>
          <w:szCs w:val="20"/>
        </w:rPr>
      </w:pPr>
      <w:r w:rsidRPr="00AD3D2C">
        <w:rPr>
          <w:rFonts w:ascii="Tahoma" w:hAnsi="Tahoma" w:cs="Tahoma"/>
          <w:sz w:val="20"/>
          <w:szCs w:val="20"/>
        </w:rPr>
        <w:t>των εκθέσεων που αφορούν στον ποιοτικό έλεγχο των έργων</w:t>
      </w:r>
    </w:p>
    <w:p w:rsidR="00B66265" w:rsidRPr="00AD3D2C" w:rsidRDefault="00B66265" w:rsidP="00AD3D2C">
      <w:pPr>
        <w:pStyle w:val="a8"/>
        <w:numPr>
          <w:ilvl w:val="0"/>
          <w:numId w:val="21"/>
        </w:numPr>
        <w:spacing w:after="120" w:line="280" w:lineRule="atLeast"/>
        <w:rPr>
          <w:rFonts w:ascii="Tahoma" w:hAnsi="Tahoma" w:cs="Tahoma"/>
          <w:sz w:val="20"/>
          <w:szCs w:val="20"/>
        </w:rPr>
      </w:pPr>
      <w:r w:rsidRPr="00AD3D2C">
        <w:rPr>
          <w:rFonts w:ascii="Tahoma" w:hAnsi="Tahoma" w:cs="Tahoma"/>
          <w:sz w:val="20"/>
          <w:szCs w:val="20"/>
        </w:rPr>
        <w:t>οποιαδήποτε τεκμηριωμένη πληροφορία που μπορεί να αφορά επισφαλείς δαπάνες</w:t>
      </w:r>
    </w:p>
    <w:p w:rsidR="00B66265" w:rsidRPr="00AD3D2C" w:rsidRDefault="00B66265" w:rsidP="00996A00">
      <w:pPr>
        <w:pStyle w:val="a8"/>
        <w:numPr>
          <w:ilvl w:val="0"/>
          <w:numId w:val="28"/>
        </w:numPr>
        <w:spacing w:before="240" w:line="280" w:lineRule="atLeast"/>
        <w:ind w:left="284" w:hanging="284"/>
        <w:contextualSpacing w:val="0"/>
        <w:rPr>
          <w:rFonts w:ascii="Tahoma" w:hAnsi="Tahoma" w:cs="Tahoma"/>
          <w:sz w:val="20"/>
          <w:szCs w:val="20"/>
        </w:rPr>
      </w:pPr>
      <w:r w:rsidRPr="00AD3D2C">
        <w:rPr>
          <w:rFonts w:ascii="Tahoma" w:hAnsi="Tahoma" w:cs="Tahoma"/>
          <w:sz w:val="20"/>
          <w:szCs w:val="20"/>
        </w:rPr>
        <w:t>Τον έλεγχο της τήρησης κανονιστικών υποχρεώσεων όπως:</w:t>
      </w:r>
    </w:p>
    <w:p w:rsidR="00B66265" w:rsidRPr="00AD3D2C" w:rsidRDefault="00B66265" w:rsidP="00AD3D2C">
      <w:pPr>
        <w:pStyle w:val="a8"/>
        <w:numPr>
          <w:ilvl w:val="0"/>
          <w:numId w:val="21"/>
        </w:numPr>
        <w:spacing w:after="120" w:line="280" w:lineRule="atLeast"/>
        <w:ind w:left="714" w:hanging="357"/>
        <w:rPr>
          <w:rFonts w:ascii="Tahoma" w:hAnsi="Tahoma" w:cs="Tahoma"/>
          <w:sz w:val="20"/>
          <w:szCs w:val="20"/>
        </w:rPr>
      </w:pPr>
      <w:r w:rsidRPr="00AD3D2C">
        <w:rPr>
          <w:rFonts w:ascii="Tahoma" w:hAnsi="Tahoma" w:cs="Tahoma"/>
          <w:sz w:val="20"/>
          <w:szCs w:val="20"/>
        </w:rPr>
        <w:t>τον έλεγχο της συμβατότητας των πληρωμών κρατικών ενισχύσεων, καθώς και των προκαταβολών κρατικών ενισχύσεων του άρθρου 107 της Συνθήκης με τους ισχύοντες Κανονισμούς</w:t>
      </w:r>
    </w:p>
    <w:p w:rsidR="00B66265" w:rsidRPr="00AD3D2C" w:rsidRDefault="00B66265" w:rsidP="00AD3D2C">
      <w:pPr>
        <w:pStyle w:val="a8"/>
        <w:numPr>
          <w:ilvl w:val="0"/>
          <w:numId w:val="21"/>
        </w:numPr>
        <w:spacing w:after="120" w:line="280" w:lineRule="atLeast"/>
        <w:rPr>
          <w:rFonts w:ascii="Tahoma" w:hAnsi="Tahoma" w:cs="Tahoma"/>
          <w:sz w:val="20"/>
          <w:szCs w:val="20"/>
        </w:rPr>
      </w:pPr>
      <w:r w:rsidRPr="00AD3D2C">
        <w:rPr>
          <w:rFonts w:ascii="Tahoma" w:hAnsi="Tahoma" w:cs="Tahoma"/>
          <w:sz w:val="20"/>
          <w:szCs w:val="20"/>
        </w:rPr>
        <w:t>την επαλήθευση της εφαρμογής της εγκριτικής απόφασης της Ευρωπαϊκής Επιτροπής για τις δαπάνες των μεγάλων έργων κλπ.</w:t>
      </w:r>
    </w:p>
    <w:p w:rsidR="00FC20E6" w:rsidRPr="004374ED" w:rsidRDefault="00FC20E6" w:rsidP="00AD3D2C">
      <w:pPr>
        <w:spacing w:after="120" w:line="280" w:lineRule="atLeast"/>
        <w:rPr>
          <w:rFonts w:ascii="Tahoma" w:hAnsi="Tahoma" w:cs="Tahoma"/>
          <w:sz w:val="20"/>
          <w:szCs w:val="20"/>
        </w:rPr>
      </w:pPr>
      <w:r w:rsidRPr="00864F15">
        <w:rPr>
          <w:rFonts w:ascii="Tahoma" w:hAnsi="Tahoma" w:cs="Tahoma"/>
          <w:sz w:val="20"/>
          <w:szCs w:val="20"/>
        </w:rPr>
        <w:t xml:space="preserve">Τα παραπάνω σημεία περιλαμβάνονται στη Λίστα Ελέγχου </w:t>
      </w:r>
      <w:r w:rsidR="004374ED" w:rsidRPr="00864F15">
        <w:rPr>
          <w:rFonts w:ascii="Tahoma" w:hAnsi="Tahoma" w:cs="Tahoma"/>
          <w:sz w:val="20"/>
          <w:szCs w:val="20"/>
        </w:rPr>
        <w:t xml:space="preserve">που αποτελεί τυποποιημένο έντυπο του Συστήματος Ποιότητας κατά </w:t>
      </w:r>
      <w:r w:rsidR="004374ED" w:rsidRPr="00864F15">
        <w:rPr>
          <w:rFonts w:ascii="Tahoma" w:hAnsi="Tahoma" w:cs="Tahoma"/>
          <w:sz w:val="20"/>
          <w:szCs w:val="20"/>
          <w:lang w:val="en-US"/>
        </w:rPr>
        <w:t>ISO</w:t>
      </w:r>
      <w:r w:rsidR="004374ED" w:rsidRPr="00864F15">
        <w:rPr>
          <w:rFonts w:ascii="Tahoma" w:hAnsi="Tahoma" w:cs="Tahoma"/>
          <w:sz w:val="20"/>
          <w:szCs w:val="20"/>
        </w:rPr>
        <w:t xml:space="preserve"> της Αρχής Πιστοποίησης, υπογράφεται αρμοδίως και αρχειοθετείται στο φάκελο των αιτημάτων ανά ΕΠ.</w:t>
      </w:r>
      <w:r w:rsidR="004374ED">
        <w:rPr>
          <w:rFonts w:ascii="Tahoma" w:hAnsi="Tahoma" w:cs="Tahoma"/>
          <w:sz w:val="20"/>
          <w:szCs w:val="20"/>
        </w:rPr>
        <w:t xml:space="preserve">  </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Ανάλογα με τα αποτελέσματα των παραπάνω, η Αρχή Πιστοποίησης μπορεί:</w:t>
      </w:r>
    </w:p>
    <w:p w:rsidR="00B66265" w:rsidRPr="00843ED4" w:rsidRDefault="00B66265" w:rsidP="00AD3D2C">
      <w:pPr>
        <w:pStyle w:val="a8"/>
        <w:numPr>
          <w:ilvl w:val="0"/>
          <w:numId w:val="30"/>
        </w:numPr>
        <w:spacing w:after="120" w:line="280" w:lineRule="atLeast"/>
        <w:ind w:left="284" w:hanging="284"/>
        <w:contextualSpacing w:val="0"/>
        <w:rPr>
          <w:rFonts w:ascii="Tahoma" w:hAnsi="Tahoma" w:cs="Tahoma"/>
          <w:sz w:val="20"/>
          <w:szCs w:val="20"/>
        </w:rPr>
      </w:pPr>
      <w:r w:rsidRPr="00843ED4">
        <w:rPr>
          <w:rFonts w:ascii="Tahoma" w:hAnsi="Tahoma" w:cs="Tahoma"/>
          <w:sz w:val="20"/>
          <w:szCs w:val="20"/>
        </w:rPr>
        <w:t>να προχωρήσει στις επόμενες ενέργειες για την υποβολή της Αίτησης Ενδιάμεσης Πληρωμής, ή</w:t>
      </w:r>
    </w:p>
    <w:p w:rsidR="00B66265" w:rsidRPr="0004182E" w:rsidRDefault="00B66265" w:rsidP="00AD3D2C">
      <w:pPr>
        <w:pStyle w:val="a8"/>
        <w:numPr>
          <w:ilvl w:val="0"/>
          <w:numId w:val="30"/>
        </w:numPr>
        <w:spacing w:after="120" w:line="280" w:lineRule="atLeast"/>
        <w:ind w:left="284" w:hanging="284"/>
        <w:contextualSpacing w:val="0"/>
        <w:rPr>
          <w:rFonts w:ascii="Tahoma" w:hAnsi="Tahoma" w:cs="Tahoma"/>
          <w:sz w:val="20"/>
          <w:szCs w:val="20"/>
        </w:rPr>
      </w:pPr>
      <w:r w:rsidRPr="0004182E">
        <w:rPr>
          <w:rFonts w:ascii="Tahoma" w:hAnsi="Tahoma" w:cs="Tahoma"/>
          <w:sz w:val="20"/>
          <w:szCs w:val="20"/>
        </w:rPr>
        <w:t>να μην συμπεριλάβει επισφαλείς δαπάνες, μέχρι την εφαρμογή των κατάλληλων μέτρων, με την εξαίρεσή τους από τις προς πιστοποίηση δαπάνες. Ανάλογα με τα αποτελέσματα περαιτέρω ελέγχων,</w:t>
      </w:r>
      <w:r w:rsidR="00031CBF">
        <w:rPr>
          <w:rFonts w:ascii="Tahoma" w:hAnsi="Tahoma" w:cs="Tahoma"/>
          <w:sz w:val="20"/>
          <w:szCs w:val="20"/>
        </w:rPr>
        <w:t xml:space="preserve"> </w:t>
      </w:r>
      <w:r w:rsidRPr="0004182E">
        <w:rPr>
          <w:rFonts w:ascii="Tahoma" w:hAnsi="Tahoma" w:cs="Tahoma"/>
          <w:sz w:val="20"/>
          <w:szCs w:val="20"/>
        </w:rPr>
        <w:lastRenderedPageBreak/>
        <w:t>οι δαπάνες αυτές μπορεί να συμπεριληφθούν σε επόμενη Ενδιάμεση Αίτηση εντός της ίδιας λογιστικής χρήσης ή σε επόμενη λογιστική χρήση, ή</w:t>
      </w:r>
    </w:p>
    <w:p w:rsidR="00B66265" w:rsidRPr="00AD3D2C" w:rsidRDefault="00B66265" w:rsidP="00AD3D2C">
      <w:pPr>
        <w:pStyle w:val="a8"/>
        <w:numPr>
          <w:ilvl w:val="0"/>
          <w:numId w:val="30"/>
        </w:numPr>
        <w:spacing w:after="120" w:line="280" w:lineRule="atLeast"/>
        <w:ind w:left="284" w:hanging="284"/>
        <w:contextualSpacing w:val="0"/>
        <w:rPr>
          <w:rFonts w:ascii="Tahoma" w:hAnsi="Tahoma" w:cs="Tahoma"/>
          <w:sz w:val="20"/>
          <w:szCs w:val="20"/>
        </w:rPr>
      </w:pPr>
      <w:r w:rsidRPr="0004182E">
        <w:rPr>
          <w:rFonts w:ascii="Tahoma" w:hAnsi="Tahoma" w:cs="Tahoma"/>
          <w:sz w:val="20"/>
          <w:szCs w:val="20"/>
        </w:rPr>
        <w:t>να μην προχωρήσει στην υποβολή</w:t>
      </w:r>
      <w:r w:rsidRPr="00AD3D2C">
        <w:rPr>
          <w:rFonts w:ascii="Tahoma" w:hAnsi="Tahoma" w:cs="Tahoma"/>
          <w:sz w:val="20"/>
          <w:szCs w:val="20"/>
        </w:rPr>
        <w:t xml:space="preserve"> Αίτηση</w:t>
      </w:r>
      <w:r>
        <w:rPr>
          <w:rFonts w:ascii="Tahoma" w:hAnsi="Tahoma" w:cs="Tahoma"/>
          <w:sz w:val="20"/>
          <w:szCs w:val="20"/>
        </w:rPr>
        <w:t>ς</w:t>
      </w:r>
      <w:r w:rsidRPr="00AD3D2C">
        <w:rPr>
          <w:rFonts w:ascii="Tahoma" w:hAnsi="Tahoma" w:cs="Tahoma"/>
          <w:sz w:val="20"/>
          <w:szCs w:val="20"/>
        </w:rPr>
        <w:t xml:space="preserve"> Ενδιάμεσης Πληρωμής.</w:t>
      </w:r>
    </w:p>
    <w:p w:rsidR="00B66265" w:rsidRPr="00AC6D6D" w:rsidRDefault="00B66265" w:rsidP="00AC6D6D">
      <w:pPr>
        <w:pStyle w:val="a8"/>
        <w:keepNext/>
        <w:numPr>
          <w:ilvl w:val="1"/>
          <w:numId w:val="20"/>
        </w:numPr>
        <w:spacing w:before="240" w:after="120" w:line="280" w:lineRule="atLeast"/>
        <w:ind w:left="357" w:hanging="357"/>
        <w:contextualSpacing w:val="0"/>
        <w:rPr>
          <w:rFonts w:ascii="Tahoma" w:hAnsi="Tahoma" w:cs="Tahoma"/>
          <w:b/>
          <w:bCs/>
          <w:color w:val="990000"/>
          <w:sz w:val="20"/>
          <w:szCs w:val="20"/>
        </w:rPr>
      </w:pPr>
      <w:r w:rsidRPr="00AC6D6D">
        <w:rPr>
          <w:rFonts w:ascii="Tahoma" w:hAnsi="Tahoma" w:cs="Tahoma"/>
          <w:b/>
          <w:bCs/>
          <w:color w:val="800000"/>
          <w:sz w:val="20"/>
          <w:szCs w:val="20"/>
        </w:rPr>
        <w:t xml:space="preserve">Ενημέρωση </w:t>
      </w:r>
      <w:r w:rsidRPr="00843ED4">
        <w:rPr>
          <w:rFonts w:ascii="Tahoma" w:hAnsi="Tahoma" w:cs="Tahoma"/>
          <w:b/>
          <w:bCs/>
          <w:color w:val="800000"/>
          <w:sz w:val="20"/>
          <w:szCs w:val="20"/>
        </w:rPr>
        <w:t>ΔΑ/ΕΦ</w:t>
      </w:r>
      <w:r w:rsidRPr="00AC6D6D">
        <w:rPr>
          <w:rFonts w:ascii="Tahoma" w:hAnsi="Tahoma" w:cs="Tahoma"/>
          <w:b/>
          <w:bCs/>
          <w:color w:val="800000"/>
          <w:sz w:val="20"/>
          <w:szCs w:val="20"/>
        </w:rPr>
        <w:t xml:space="preserve"> – Συμπλήρωση Πρωτοκόλλου Περιοδικής </w:t>
      </w:r>
      <w:r w:rsidR="00064B80">
        <w:rPr>
          <w:rFonts w:ascii="Tahoma" w:hAnsi="Tahoma" w:cs="Tahoma"/>
          <w:b/>
          <w:bCs/>
          <w:color w:val="800000"/>
          <w:sz w:val="20"/>
          <w:szCs w:val="20"/>
        </w:rPr>
        <w:t>Δήλωσης</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Μετά την ολοκλήρωση των παραπάνω, η Αρχή Πιστοποίησης </w:t>
      </w:r>
      <w:r w:rsidRPr="0004182E">
        <w:rPr>
          <w:rFonts w:ascii="Tahoma" w:hAnsi="Tahoma" w:cs="Tahoma"/>
          <w:sz w:val="20"/>
          <w:szCs w:val="20"/>
        </w:rPr>
        <w:t xml:space="preserve">αποστέλλει </w:t>
      </w:r>
      <w:r w:rsidRPr="00AD3D2C">
        <w:rPr>
          <w:rFonts w:ascii="Tahoma" w:hAnsi="Tahoma" w:cs="Tahoma"/>
          <w:sz w:val="20"/>
          <w:szCs w:val="20"/>
        </w:rPr>
        <w:t xml:space="preserve">στις ΔΑ τα στοιχεία της Αίτησης Πληρωμής με τα </w:t>
      </w:r>
      <w:r w:rsidRPr="00C17C63">
        <w:rPr>
          <w:rFonts w:ascii="Tahoma" w:hAnsi="Tahoma" w:cs="Tahoma"/>
          <w:sz w:val="20"/>
          <w:szCs w:val="20"/>
        </w:rPr>
        <w:t>απαιτούμενα επισυναπτόμενα έγγραφα/ πίνακες και</w:t>
      </w:r>
      <w:r w:rsidRPr="00AD3D2C">
        <w:rPr>
          <w:rFonts w:ascii="Tahoma" w:hAnsi="Tahoma" w:cs="Tahoma"/>
          <w:sz w:val="20"/>
          <w:szCs w:val="20"/>
        </w:rPr>
        <w:t xml:space="preserve"> στους </w:t>
      </w:r>
      <w:r w:rsidRPr="00843ED4">
        <w:rPr>
          <w:rFonts w:ascii="Tahoma" w:hAnsi="Tahoma" w:cs="Tahoma"/>
          <w:sz w:val="20"/>
          <w:szCs w:val="20"/>
        </w:rPr>
        <w:t>ΕΦ</w:t>
      </w:r>
      <w:r w:rsidRPr="00AD3D2C">
        <w:rPr>
          <w:rFonts w:ascii="Tahoma" w:hAnsi="Tahoma" w:cs="Tahoma"/>
          <w:sz w:val="20"/>
          <w:szCs w:val="20"/>
        </w:rPr>
        <w:t xml:space="preserve"> τα στοιχεία που τους αφορούν</w:t>
      </w:r>
      <w:r w:rsidRPr="0000253C">
        <w:rPr>
          <w:rFonts w:ascii="Tahoma" w:hAnsi="Tahoma" w:cs="Tahoma"/>
          <w:sz w:val="20"/>
          <w:szCs w:val="20"/>
        </w:rPr>
        <w:t>,</w:t>
      </w:r>
      <w:r w:rsidRPr="00AD3D2C">
        <w:rPr>
          <w:rFonts w:ascii="Tahoma" w:hAnsi="Tahoma" w:cs="Tahoma"/>
          <w:sz w:val="20"/>
          <w:szCs w:val="20"/>
        </w:rPr>
        <w:t xml:space="preserve"> τα οποία τους καλεί να τα επιβεβαιώσουν στο πλαίσιο των αρμοδιοτήτων </w:t>
      </w:r>
      <w:r>
        <w:rPr>
          <w:rFonts w:ascii="Tahoma" w:hAnsi="Tahoma" w:cs="Tahoma"/>
          <w:sz w:val="20"/>
          <w:szCs w:val="20"/>
        </w:rPr>
        <w:t>τους,</w:t>
      </w:r>
      <w:r w:rsidRPr="00AD3D2C">
        <w:rPr>
          <w:rFonts w:ascii="Tahoma" w:hAnsi="Tahoma" w:cs="Tahoma"/>
          <w:sz w:val="20"/>
          <w:szCs w:val="20"/>
        </w:rPr>
        <w:t xml:space="preserve"> μέσω του Πρωτοκόλλου Περιοδικής </w:t>
      </w:r>
      <w:r w:rsidR="00064B80">
        <w:rPr>
          <w:rFonts w:ascii="Tahoma" w:hAnsi="Tahoma" w:cs="Tahoma"/>
          <w:sz w:val="20"/>
          <w:szCs w:val="20"/>
        </w:rPr>
        <w:t>Δήλω</w:t>
      </w:r>
      <w:r w:rsidRPr="00AD3D2C">
        <w:rPr>
          <w:rFonts w:ascii="Tahoma" w:hAnsi="Tahoma" w:cs="Tahoma"/>
          <w:sz w:val="20"/>
          <w:szCs w:val="20"/>
        </w:rPr>
        <w:t>σης [</w:t>
      </w:r>
      <w:r w:rsidRPr="00AD3D2C">
        <w:rPr>
          <w:rFonts w:ascii="Tahoma" w:hAnsi="Tahoma" w:cs="Tahoma"/>
          <w:i/>
          <w:sz w:val="20"/>
          <w:szCs w:val="20"/>
        </w:rPr>
        <w:t xml:space="preserve">Ε.VII.1_1: Πρωτόκολλο Περιοδικής </w:t>
      </w:r>
      <w:r w:rsidR="00064B80">
        <w:rPr>
          <w:rFonts w:ascii="Tahoma" w:hAnsi="Tahoma" w:cs="Tahoma"/>
          <w:i/>
          <w:sz w:val="20"/>
          <w:szCs w:val="20"/>
        </w:rPr>
        <w:t>Δήλωσης</w:t>
      </w:r>
      <w:r w:rsidRPr="00AD3D2C">
        <w:rPr>
          <w:rFonts w:ascii="Tahoma" w:hAnsi="Tahoma" w:cs="Tahoma"/>
          <w:i/>
          <w:sz w:val="20"/>
          <w:szCs w:val="20"/>
        </w:rPr>
        <w:t xml:space="preserve"> (ΠΠ</w:t>
      </w:r>
      <w:r w:rsidR="00064B80">
        <w:rPr>
          <w:rFonts w:ascii="Tahoma" w:hAnsi="Tahoma" w:cs="Tahoma"/>
          <w:i/>
          <w:sz w:val="20"/>
          <w:szCs w:val="20"/>
        </w:rPr>
        <w:t>Δ</w:t>
      </w:r>
      <w:r w:rsidRPr="00AD3D2C">
        <w:rPr>
          <w:rFonts w:ascii="Tahoma" w:hAnsi="Tahoma" w:cs="Tahoma"/>
          <w:i/>
          <w:sz w:val="20"/>
          <w:szCs w:val="20"/>
        </w:rPr>
        <w:t>)].</w:t>
      </w:r>
    </w:p>
    <w:p w:rsidR="00B66265" w:rsidRPr="006A435B"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Το </w:t>
      </w:r>
      <w:r w:rsidRPr="00AD3D2C">
        <w:rPr>
          <w:rFonts w:ascii="Tahoma" w:hAnsi="Tahoma" w:cs="Tahoma"/>
          <w:i/>
          <w:sz w:val="20"/>
          <w:szCs w:val="20"/>
        </w:rPr>
        <w:t xml:space="preserve">Ε.VII.1_1: Πρωτόκολλο Περιοδικής </w:t>
      </w:r>
      <w:r w:rsidR="00064B80">
        <w:rPr>
          <w:rFonts w:ascii="Tahoma" w:hAnsi="Tahoma" w:cs="Tahoma"/>
          <w:i/>
          <w:sz w:val="20"/>
          <w:szCs w:val="20"/>
        </w:rPr>
        <w:t>Δήλωσης (ΠΠΔ</w:t>
      </w:r>
      <w:r w:rsidRPr="00AD3D2C">
        <w:rPr>
          <w:rFonts w:ascii="Tahoma" w:hAnsi="Tahoma" w:cs="Tahoma"/>
          <w:i/>
          <w:sz w:val="20"/>
          <w:szCs w:val="20"/>
        </w:rPr>
        <w:t xml:space="preserve">) </w:t>
      </w:r>
      <w:r w:rsidRPr="00AD3D2C">
        <w:rPr>
          <w:rFonts w:ascii="Tahoma" w:hAnsi="Tahoma" w:cs="Tahoma"/>
          <w:sz w:val="20"/>
          <w:szCs w:val="20"/>
        </w:rPr>
        <w:t xml:space="preserve">συμπληρώνεται και υπογράφεται από τις </w:t>
      </w:r>
      <w:r w:rsidRPr="00C17C63">
        <w:rPr>
          <w:rFonts w:ascii="Tahoma" w:hAnsi="Tahoma" w:cs="Tahoma"/>
          <w:sz w:val="20"/>
          <w:szCs w:val="20"/>
        </w:rPr>
        <w:t xml:space="preserve">ΔΑ/ ΕΦ και αποστέλλεται στην Αρχή Πιστοποίησης, προκειμένου η Αρχή Πιστοποίησης να προβεί στην κατάρτιση και οριστικοποίηση της Αίτησης Πληρωμής. </w:t>
      </w:r>
    </w:p>
    <w:p w:rsidR="00B66265" w:rsidRPr="00C17C63" w:rsidRDefault="00B66265" w:rsidP="00AC6D6D">
      <w:pPr>
        <w:pStyle w:val="a8"/>
        <w:keepNext/>
        <w:numPr>
          <w:ilvl w:val="1"/>
          <w:numId w:val="20"/>
        </w:numPr>
        <w:spacing w:before="240" w:after="120" w:line="280" w:lineRule="atLeast"/>
        <w:ind w:left="357" w:hanging="357"/>
        <w:contextualSpacing w:val="0"/>
        <w:rPr>
          <w:rFonts w:ascii="Tahoma" w:hAnsi="Tahoma" w:cs="Tahoma"/>
          <w:b/>
          <w:bCs/>
          <w:color w:val="800000"/>
          <w:sz w:val="20"/>
          <w:szCs w:val="20"/>
        </w:rPr>
      </w:pPr>
      <w:r w:rsidRPr="00C17C63">
        <w:rPr>
          <w:rFonts w:ascii="Tahoma" w:hAnsi="Tahoma" w:cs="Tahoma"/>
          <w:b/>
          <w:bCs/>
          <w:color w:val="800000"/>
          <w:sz w:val="20"/>
          <w:szCs w:val="20"/>
        </w:rPr>
        <w:t xml:space="preserve">Κατάρτιση και Οριστικοποίηση Αίτησης </w:t>
      </w:r>
      <w:r w:rsidR="009F6EDA">
        <w:rPr>
          <w:rFonts w:ascii="Tahoma" w:hAnsi="Tahoma" w:cs="Tahoma"/>
          <w:b/>
          <w:bCs/>
          <w:color w:val="800000"/>
          <w:sz w:val="20"/>
          <w:szCs w:val="20"/>
        </w:rPr>
        <w:t xml:space="preserve">Ενδιάμεσης </w:t>
      </w:r>
      <w:r w:rsidRPr="00C17C63">
        <w:rPr>
          <w:rFonts w:ascii="Tahoma" w:hAnsi="Tahoma" w:cs="Tahoma"/>
          <w:b/>
          <w:bCs/>
          <w:color w:val="800000"/>
          <w:sz w:val="20"/>
          <w:szCs w:val="20"/>
        </w:rPr>
        <w:t>Πληρωμής</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Οι Αιτήσεις </w:t>
      </w:r>
      <w:r w:rsidR="00531347">
        <w:rPr>
          <w:rFonts w:ascii="Tahoma" w:hAnsi="Tahoma" w:cs="Tahoma"/>
          <w:sz w:val="20"/>
          <w:szCs w:val="20"/>
        </w:rPr>
        <w:t xml:space="preserve">Ενδιάμεσης </w:t>
      </w:r>
      <w:r w:rsidRPr="00AD3D2C">
        <w:rPr>
          <w:rFonts w:ascii="Tahoma" w:hAnsi="Tahoma" w:cs="Tahoma"/>
          <w:sz w:val="20"/>
          <w:szCs w:val="20"/>
        </w:rPr>
        <w:t xml:space="preserve">Πληρωμής καταρτίζονται με βάση τις εγγραφές </w:t>
      </w:r>
      <w:r>
        <w:rPr>
          <w:rFonts w:ascii="Tahoma" w:hAnsi="Tahoma" w:cs="Tahoma"/>
          <w:sz w:val="20"/>
          <w:szCs w:val="20"/>
        </w:rPr>
        <w:t xml:space="preserve">στο ΟΠΣ που αποτελεί </w:t>
      </w:r>
      <w:r w:rsidRPr="00AD3D2C">
        <w:rPr>
          <w:rFonts w:ascii="Tahoma" w:hAnsi="Tahoma" w:cs="Tahoma"/>
          <w:sz w:val="20"/>
          <w:szCs w:val="20"/>
        </w:rPr>
        <w:t>το λογιστικ</w:t>
      </w:r>
      <w:r>
        <w:rPr>
          <w:rFonts w:ascii="Tahoma" w:hAnsi="Tahoma" w:cs="Tahoma"/>
          <w:sz w:val="20"/>
          <w:szCs w:val="20"/>
        </w:rPr>
        <w:t>ό σύστη</w:t>
      </w:r>
      <w:r w:rsidRPr="00AD3D2C">
        <w:rPr>
          <w:rFonts w:ascii="Tahoma" w:hAnsi="Tahoma" w:cs="Tahoma"/>
          <w:sz w:val="20"/>
          <w:szCs w:val="20"/>
        </w:rPr>
        <w:t>μα της Αρχής Πιστοποίησης</w:t>
      </w:r>
      <w:r>
        <w:rPr>
          <w:rFonts w:ascii="Tahoma" w:hAnsi="Tahoma" w:cs="Tahoma"/>
          <w:sz w:val="20"/>
          <w:szCs w:val="20"/>
        </w:rPr>
        <w:t xml:space="preserve"> </w:t>
      </w:r>
      <w:r w:rsidRPr="00AD3D2C">
        <w:rPr>
          <w:rFonts w:ascii="Tahoma" w:hAnsi="Tahoma" w:cs="Tahoma"/>
          <w:sz w:val="20"/>
          <w:szCs w:val="20"/>
        </w:rPr>
        <w:t>και περιλαμβάνουν για κάθε προτεραιότητα και κατηγορία Περιφέρειας (στην περίπτωση που ένας Άξονας περιλαμβάνει διαφορετικές κατηγορίες Περιφερειών):</w:t>
      </w:r>
    </w:p>
    <w:p w:rsidR="008627D9" w:rsidRDefault="00531347" w:rsidP="008627D9">
      <w:pPr>
        <w:spacing w:after="120" w:line="280" w:lineRule="atLeast"/>
        <w:rPr>
          <w:rFonts w:ascii="Tahoma" w:hAnsi="Tahoma" w:cs="Tahoma"/>
          <w:sz w:val="20"/>
          <w:szCs w:val="20"/>
        </w:rPr>
      </w:pPr>
      <w:r>
        <w:rPr>
          <w:rFonts w:ascii="Tahoma" w:hAnsi="Tahoma" w:cs="Tahoma"/>
          <w:sz w:val="20"/>
          <w:szCs w:val="20"/>
        </w:rPr>
        <w:t>α) Τ</w:t>
      </w:r>
      <w:r w:rsidR="00B66265" w:rsidRPr="00AD3D2C">
        <w:rPr>
          <w:rFonts w:ascii="Tahoma" w:hAnsi="Tahoma" w:cs="Tahoma"/>
          <w:sz w:val="20"/>
          <w:szCs w:val="20"/>
        </w:rPr>
        <w:t>ο συνολικό ποσό των επιλέξιμων δαπανών που πραγματοποίησαν οι Δικαιούχοι και οι οποίες έχουν καταβληθεί για την υλοποίηση Πράξεων</w:t>
      </w:r>
      <w:r w:rsidR="008627D9">
        <w:rPr>
          <w:rFonts w:ascii="Tahoma" w:hAnsi="Tahoma" w:cs="Tahoma"/>
          <w:sz w:val="20"/>
          <w:szCs w:val="20"/>
        </w:rPr>
        <w:t xml:space="preserve">. </w:t>
      </w:r>
      <w:r w:rsidR="008627D9" w:rsidRPr="008627D9">
        <w:rPr>
          <w:rFonts w:ascii="Tahoma" w:hAnsi="Tahoma" w:cs="Tahoma"/>
          <w:sz w:val="20"/>
          <w:szCs w:val="20"/>
        </w:rPr>
        <w:t>Στις περιπτώσεις δημοσιονομικών διορθώσεων τα αντίστοιχα ποσά αποσύρονται από την επόμενη αίτηση πληρωμής με την αφαίρεσή τους (καταχώρ</w:t>
      </w:r>
      <w:r w:rsidR="00BE05F1">
        <w:rPr>
          <w:rFonts w:ascii="Tahoma" w:hAnsi="Tahoma" w:cs="Tahoma"/>
          <w:sz w:val="20"/>
          <w:szCs w:val="20"/>
        </w:rPr>
        <w:t>ι</w:t>
      </w:r>
      <w:r w:rsidR="008627D9" w:rsidRPr="008627D9">
        <w:rPr>
          <w:rFonts w:ascii="Tahoma" w:hAnsi="Tahoma" w:cs="Tahoma"/>
          <w:sz w:val="20"/>
          <w:szCs w:val="20"/>
        </w:rPr>
        <w:t>ση ΔΚΔ) από τις επιλέξιμες δαπάνες, ανεξάρτητα από την ανάκτησή τους από το Δικαιούχο (επιστρέφονται στον προϋπολογισμό της Ένωσης με συμψηφισμό στην επόμενη αίτηση πληρωμής).</w:t>
      </w:r>
      <w:r w:rsidR="008627D9">
        <w:rPr>
          <w:rFonts w:ascii="Tahoma" w:hAnsi="Tahoma" w:cs="Tahoma"/>
          <w:sz w:val="20"/>
          <w:szCs w:val="20"/>
        </w:rPr>
        <w:t xml:space="preserve"> </w:t>
      </w:r>
    </w:p>
    <w:p w:rsidR="00B66265" w:rsidRPr="00AD3D2C" w:rsidRDefault="00531347" w:rsidP="00962ADC">
      <w:pPr>
        <w:spacing w:line="280" w:lineRule="atLeast"/>
        <w:rPr>
          <w:rFonts w:ascii="Tahoma" w:hAnsi="Tahoma" w:cs="Tahoma"/>
          <w:sz w:val="20"/>
          <w:szCs w:val="20"/>
        </w:rPr>
      </w:pPr>
      <w:r>
        <w:rPr>
          <w:rFonts w:ascii="Tahoma" w:hAnsi="Tahoma" w:cs="Tahoma"/>
          <w:sz w:val="20"/>
          <w:szCs w:val="20"/>
        </w:rPr>
        <w:t>β) Τ</w:t>
      </w:r>
      <w:r w:rsidR="00B66265" w:rsidRPr="00AD3D2C">
        <w:rPr>
          <w:rFonts w:ascii="Tahoma" w:hAnsi="Tahoma" w:cs="Tahoma"/>
          <w:sz w:val="20"/>
          <w:szCs w:val="20"/>
        </w:rPr>
        <w:t>ο συνολικό ποσό της δημόσιας δαπάνης για την υλοποίηση Πράξεων</w:t>
      </w:r>
      <w:r w:rsidR="00962ADC">
        <w:rPr>
          <w:rFonts w:ascii="Tahoma" w:hAnsi="Tahoma" w:cs="Tahoma"/>
          <w:sz w:val="20"/>
          <w:szCs w:val="20"/>
        </w:rPr>
        <w:t>.</w:t>
      </w:r>
    </w:p>
    <w:p w:rsidR="00B66265" w:rsidRPr="00962ADC" w:rsidRDefault="00B66265" w:rsidP="00AD3D2C">
      <w:pPr>
        <w:spacing w:after="120" w:line="280" w:lineRule="atLeast"/>
        <w:rPr>
          <w:rFonts w:ascii="Tahoma" w:hAnsi="Tahoma" w:cs="Tahoma"/>
          <w:i/>
          <w:sz w:val="20"/>
          <w:szCs w:val="20"/>
        </w:rPr>
      </w:pPr>
      <w:r w:rsidRPr="00962ADC">
        <w:rPr>
          <w:rFonts w:ascii="Tahoma" w:hAnsi="Tahoma" w:cs="Tahoma"/>
          <w:i/>
          <w:sz w:val="20"/>
          <w:szCs w:val="20"/>
        </w:rPr>
        <w:t>Εφόσον η βάση υπολογισμού της κοινοτικής συνδρομής είναι η δημόσια δαπάνη τα α) και β) ταυτίζονται.</w:t>
      </w:r>
    </w:p>
    <w:p w:rsidR="00B66265"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γ) </w:t>
      </w:r>
      <w:r w:rsidR="00962ADC">
        <w:rPr>
          <w:rFonts w:ascii="Tahoma" w:hAnsi="Tahoma" w:cs="Tahoma"/>
          <w:sz w:val="20"/>
          <w:szCs w:val="20"/>
        </w:rPr>
        <w:t>Α</w:t>
      </w:r>
      <w:r w:rsidRPr="00AD3D2C">
        <w:rPr>
          <w:rFonts w:ascii="Tahoma" w:hAnsi="Tahoma" w:cs="Tahoma"/>
          <w:sz w:val="20"/>
          <w:szCs w:val="20"/>
        </w:rPr>
        <w:t xml:space="preserve">θροιστικά από την έναρξη του Επιχειρησιακού Προγράμματος, τα ποσά </w:t>
      </w:r>
      <w:r>
        <w:rPr>
          <w:rFonts w:ascii="Tahoma" w:hAnsi="Tahoma" w:cs="Tahoma"/>
          <w:sz w:val="20"/>
          <w:szCs w:val="20"/>
        </w:rPr>
        <w:t xml:space="preserve">που καταβάλλονται στα μέσα χρηματοοικονομικής </w:t>
      </w:r>
      <w:r w:rsidRPr="00AD3D2C">
        <w:rPr>
          <w:rFonts w:ascii="Tahoma" w:hAnsi="Tahoma" w:cs="Tahoma"/>
          <w:sz w:val="20"/>
          <w:szCs w:val="20"/>
        </w:rPr>
        <w:t xml:space="preserve">τεχνικής και έχουν συμπεριληφθεί σε Αίτηση Ενδιάμεσης Πληρωμής και </w:t>
      </w:r>
      <w:r>
        <w:rPr>
          <w:rFonts w:ascii="Tahoma" w:hAnsi="Tahoma" w:cs="Tahoma"/>
          <w:sz w:val="20"/>
          <w:szCs w:val="20"/>
        </w:rPr>
        <w:t>τα ποσά που καταβάλλονται ως επιλέξιμες δαπάνες κατά την έννοια του άρθρου 42 παράγραφος 1 στοιχεία α), β) και δ) του Καν. 1303/2013 όπως ισχύει.</w:t>
      </w:r>
    </w:p>
    <w:p w:rsidR="00B66265" w:rsidRPr="00AD3D2C" w:rsidRDefault="00104ABE" w:rsidP="00AD3D2C">
      <w:pPr>
        <w:spacing w:after="120" w:line="280" w:lineRule="atLeast"/>
        <w:rPr>
          <w:rFonts w:ascii="Tahoma" w:hAnsi="Tahoma" w:cs="Tahoma"/>
          <w:sz w:val="20"/>
          <w:szCs w:val="20"/>
        </w:rPr>
      </w:pPr>
      <w:r>
        <w:rPr>
          <w:rFonts w:ascii="Tahoma" w:hAnsi="Tahoma" w:cs="Tahoma"/>
          <w:sz w:val="20"/>
          <w:szCs w:val="20"/>
        </w:rPr>
        <w:t>δ) Α</w:t>
      </w:r>
      <w:r w:rsidR="00B66265" w:rsidRPr="00AD3D2C">
        <w:rPr>
          <w:rFonts w:ascii="Tahoma" w:hAnsi="Tahoma" w:cs="Tahoma"/>
          <w:sz w:val="20"/>
          <w:szCs w:val="20"/>
        </w:rPr>
        <w:t>θροιστικά από την έναρξη του Επιχειρησιακού Προγράμματος τα ποσά των επιλέξιμων προκαταβολών κρατικών ενισχύσεων (με βάση τα προβλεπόμενα στον κανονισμό) με ανάλυση ποια από αυτά τα ποσά έχουν καλυφθεί με δαπάνες εντός της τριετίας από την καταβολή και ποια όχι.</w:t>
      </w:r>
    </w:p>
    <w:p w:rsidR="00B66265" w:rsidRPr="00AD3D2C" w:rsidRDefault="00B66265" w:rsidP="00AD3D2C">
      <w:pPr>
        <w:spacing w:after="120" w:line="280" w:lineRule="atLeast"/>
        <w:rPr>
          <w:rFonts w:ascii="Tahoma" w:hAnsi="Tahoma" w:cs="Tahoma"/>
          <w:i/>
          <w:sz w:val="20"/>
          <w:szCs w:val="20"/>
        </w:rPr>
      </w:pPr>
      <w:r w:rsidRPr="00353D2E">
        <w:rPr>
          <w:rFonts w:ascii="Tahoma" w:hAnsi="Tahoma" w:cs="Tahoma"/>
          <w:sz w:val="20"/>
          <w:szCs w:val="20"/>
        </w:rPr>
        <w:t xml:space="preserve">Για την κατάρτιση των Αιτήσεων </w:t>
      </w:r>
      <w:r w:rsidR="00104ABE">
        <w:rPr>
          <w:rFonts w:ascii="Tahoma" w:hAnsi="Tahoma" w:cs="Tahoma"/>
          <w:sz w:val="20"/>
          <w:szCs w:val="20"/>
        </w:rPr>
        <w:t xml:space="preserve">Ενδιάμεσης </w:t>
      </w:r>
      <w:r w:rsidRPr="00353D2E">
        <w:rPr>
          <w:rFonts w:ascii="Tahoma" w:hAnsi="Tahoma" w:cs="Tahoma"/>
          <w:sz w:val="20"/>
          <w:szCs w:val="20"/>
        </w:rPr>
        <w:t xml:space="preserve">Πληρωμής, η Αρχή Πιστοποίησης χρησιμοποιεί το </w:t>
      </w:r>
      <w:r w:rsidRPr="00353D2E">
        <w:rPr>
          <w:rFonts w:ascii="Tahoma" w:hAnsi="Tahoma" w:cs="Tahoma"/>
          <w:i/>
          <w:sz w:val="20"/>
          <w:szCs w:val="20"/>
        </w:rPr>
        <w:t xml:space="preserve">Υπόδειγμα για την Αίτηση Πληρωμής του Παραρτήματος </w:t>
      </w:r>
      <w:r w:rsidRPr="00353D2E">
        <w:rPr>
          <w:rFonts w:ascii="Tahoma" w:hAnsi="Tahoma" w:cs="Tahoma"/>
          <w:i/>
          <w:sz w:val="20"/>
          <w:szCs w:val="20"/>
          <w:lang w:val="en-US"/>
        </w:rPr>
        <w:t>VI</w:t>
      </w:r>
      <w:r w:rsidRPr="00353D2E">
        <w:rPr>
          <w:rFonts w:ascii="Tahoma" w:hAnsi="Tahoma" w:cs="Tahoma"/>
          <w:i/>
          <w:sz w:val="20"/>
          <w:szCs w:val="20"/>
        </w:rPr>
        <w:t xml:space="preserve"> του Καν. 1011/2014.</w:t>
      </w:r>
      <w:r w:rsidRPr="00AD3D2C">
        <w:rPr>
          <w:rFonts w:ascii="Tahoma" w:hAnsi="Tahoma" w:cs="Tahoma"/>
          <w:i/>
          <w:sz w:val="20"/>
          <w:szCs w:val="20"/>
        </w:rPr>
        <w:t xml:space="preserve"> </w:t>
      </w:r>
    </w:p>
    <w:p w:rsidR="00B66265" w:rsidRDefault="00B66265" w:rsidP="00AD3D2C">
      <w:pPr>
        <w:spacing w:after="120" w:line="280" w:lineRule="atLeast"/>
        <w:rPr>
          <w:rFonts w:ascii="Tahoma" w:hAnsi="Tahoma" w:cs="Tahoma"/>
          <w:sz w:val="20"/>
          <w:szCs w:val="20"/>
        </w:rPr>
      </w:pPr>
      <w:r w:rsidRPr="00AD3D2C">
        <w:rPr>
          <w:rFonts w:ascii="Tahoma" w:hAnsi="Tahoma" w:cs="Tahoma"/>
          <w:sz w:val="20"/>
          <w:szCs w:val="20"/>
        </w:rPr>
        <w:t>Τα στοιχεία των Αιτήσεων τηρούνται σε ηλεκτρονική και όπου απαιτείται και σε φυσική μορφή.</w:t>
      </w:r>
    </w:p>
    <w:p w:rsidR="00B66265" w:rsidRPr="00AC6D6D" w:rsidRDefault="00B66265" w:rsidP="00AC6D6D">
      <w:pPr>
        <w:pStyle w:val="a8"/>
        <w:keepNext/>
        <w:numPr>
          <w:ilvl w:val="1"/>
          <w:numId w:val="20"/>
        </w:numPr>
        <w:spacing w:before="240" w:after="120" w:line="280" w:lineRule="atLeast"/>
        <w:ind w:left="357" w:hanging="357"/>
        <w:contextualSpacing w:val="0"/>
        <w:rPr>
          <w:rFonts w:ascii="Tahoma" w:hAnsi="Tahoma" w:cs="Tahoma"/>
          <w:b/>
          <w:bCs/>
          <w:color w:val="800000"/>
          <w:sz w:val="20"/>
          <w:szCs w:val="20"/>
        </w:rPr>
      </w:pPr>
      <w:r w:rsidRPr="00AC6D6D">
        <w:rPr>
          <w:rFonts w:ascii="Tahoma" w:hAnsi="Tahoma" w:cs="Tahoma"/>
          <w:b/>
          <w:bCs/>
          <w:color w:val="800000"/>
          <w:sz w:val="20"/>
          <w:szCs w:val="20"/>
        </w:rPr>
        <w:t xml:space="preserve">Υποβολή Αίτησης </w:t>
      </w:r>
      <w:r w:rsidR="00000F3D">
        <w:rPr>
          <w:rFonts w:ascii="Tahoma" w:hAnsi="Tahoma" w:cs="Tahoma"/>
          <w:b/>
          <w:bCs/>
          <w:color w:val="800000"/>
          <w:sz w:val="20"/>
          <w:szCs w:val="20"/>
        </w:rPr>
        <w:t xml:space="preserve">Ενδιάμεσης </w:t>
      </w:r>
      <w:r w:rsidRPr="00AC6D6D">
        <w:rPr>
          <w:rFonts w:ascii="Tahoma" w:hAnsi="Tahoma" w:cs="Tahoma"/>
          <w:b/>
          <w:bCs/>
          <w:color w:val="800000"/>
          <w:sz w:val="20"/>
          <w:szCs w:val="20"/>
        </w:rPr>
        <w:t>Πληρωμής</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Η οριστικοποιημένη Αίτηση </w:t>
      </w:r>
      <w:r w:rsidR="00000F3D">
        <w:rPr>
          <w:rFonts w:ascii="Tahoma" w:hAnsi="Tahoma" w:cs="Tahoma"/>
          <w:sz w:val="20"/>
          <w:szCs w:val="20"/>
        </w:rPr>
        <w:t xml:space="preserve">Ενδιάμεσης </w:t>
      </w:r>
      <w:r w:rsidRPr="00AD3D2C">
        <w:rPr>
          <w:rFonts w:ascii="Tahoma" w:hAnsi="Tahoma" w:cs="Tahoma"/>
          <w:sz w:val="20"/>
          <w:szCs w:val="20"/>
        </w:rPr>
        <w:t>Πληρωμής υποβάλλεται στην Ευρωπαϊκή Επιτροπή μέσω της SFC.</w:t>
      </w:r>
    </w:p>
    <w:p w:rsidR="00DE4420" w:rsidRDefault="00DE4420" w:rsidP="00AD3D2C">
      <w:pPr>
        <w:spacing w:after="120" w:line="280" w:lineRule="atLeast"/>
        <w:rPr>
          <w:rFonts w:ascii="Tahoma" w:hAnsi="Tahoma" w:cs="Tahoma"/>
          <w:sz w:val="20"/>
          <w:szCs w:val="20"/>
        </w:rPr>
      </w:pPr>
      <w:r w:rsidRPr="00864F15">
        <w:rPr>
          <w:rFonts w:ascii="Tahoma" w:hAnsi="Tahoma" w:cs="Tahoma"/>
          <w:sz w:val="20"/>
          <w:szCs w:val="20"/>
        </w:rPr>
        <w:t>Σημειώνεται ότι σε πλήρη ανάπτυξη του ΟΠΣ η Αίτηση Πληρωμής παράγεται από το ΟΠΣ και η αίτηση στην SFC γίνεται μέσω διεπαφής (e-ζεύξη). Μέχρι την πλήρη ανάπτυξη του ΟΠΣ στη λειτουργία της Αίτησης Πληρωμής, καθώς και σε εξαιρετικές περιπτώσεις που μπορεί να υπάρξει τεχνικό πρόβλημα στο e-ζεύξη, η καταχώριση στην SFC γίνεται με εισαγωγή δεδομένων, με βάση τα παραγόμενα από το ΟΠΣ στοιχεία. Στην περίπτωση αυτή θα γίνεται ο έλεγχος σε σχετικό πεδίο της Λίστας Ελέγχου και η αίτηση στην SFC σε status "μη επικυρωμένη" θα τυπώνεται και θα υπογράφεται από τον Προϊστάμενο της Αρχής Πιστοποίησης πριν αποσταλεί στην SFC.</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lastRenderedPageBreak/>
        <w:t xml:space="preserve">Η Αρχή Πιστοποίησης υποβάλλει την τελική Αίτηση Ενδιάμεσης Πληρωμής </w:t>
      </w:r>
      <w:r>
        <w:rPr>
          <w:rFonts w:ascii="Tahoma" w:hAnsi="Tahoma" w:cs="Tahoma"/>
          <w:sz w:val="20"/>
          <w:szCs w:val="20"/>
        </w:rPr>
        <w:t xml:space="preserve">κάθε λογιστικής χρήσης </w:t>
      </w:r>
      <w:r w:rsidRPr="00AD3D2C">
        <w:rPr>
          <w:rFonts w:ascii="Tahoma" w:hAnsi="Tahoma" w:cs="Tahoma"/>
          <w:sz w:val="20"/>
          <w:szCs w:val="20"/>
        </w:rPr>
        <w:t>έως τις 31 Ιουλίου μετά τη λήξη της προηγούμενης λογιστικής χρήσης και, σε κάθε περίπτωση, πριν από την πρώτη Αίτηση Ενδιάμεσης Πληρωμής για την επόμενη λογιστική χρήση.</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 xml:space="preserve">Η πρώτη Αίτηση Ενδιάμεσης Πληρωμής δεν υποβάλλεται πριν από την κοινοποίηση στην Επιτροπή του διορισμού </w:t>
      </w:r>
      <w:r w:rsidR="00DD6409">
        <w:rPr>
          <w:rFonts w:ascii="Tahoma" w:hAnsi="Tahoma" w:cs="Tahoma"/>
          <w:sz w:val="20"/>
          <w:szCs w:val="20"/>
        </w:rPr>
        <w:t>των Διαχειριστικών Αρχών και της Αρχής</w:t>
      </w:r>
      <w:r w:rsidRPr="00AD3D2C">
        <w:rPr>
          <w:rFonts w:ascii="Tahoma" w:hAnsi="Tahoma" w:cs="Tahoma"/>
          <w:sz w:val="20"/>
          <w:szCs w:val="20"/>
        </w:rPr>
        <w:t xml:space="preserve"> Πιστοποίησης σύμφωνα με το άρθρο 124 του Καν. 1303/2013.</w:t>
      </w:r>
    </w:p>
    <w:p w:rsidR="00B66265" w:rsidRPr="00AD3D2C" w:rsidRDefault="00B66265" w:rsidP="00AD3D2C">
      <w:pPr>
        <w:spacing w:after="120" w:line="280" w:lineRule="atLeast"/>
        <w:rPr>
          <w:rFonts w:ascii="Tahoma" w:hAnsi="Tahoma" w:cs="Tahoma"/>
          <w:sz w:val="20"/>
          <w:szCs w:val="20"/>
        </w:rPr>
      </w:pPr>
      <w:r w:rsidRPr="00AD3D2C">
        <w:rPr>
          <w:rFonts w:ascii="Tahoma" w:hAnsi="Tahoma" w:cs="Tahoma"/>
          <w:sz w:val="20"/>
          <w:szCs w:val="20"/>
        </w:rPr>
        <w:t>Δεν πραγματοποιούνται Αιτήσεις Ενδιάμεσων Πληρωμών για Επιχειρησιακά Προγράμματα, εάν δεν έχει αποσταλεί στην Ευρωπαϊκή Επιτροπή η ετήσια έκθεση υλοποίησης του προηγούμενου έτους, σύμφωνα με τους ειδικούς κανόνες για κάθε Ταμείο.</w:t>
      </w:r>
    </w:p>
    <w:p w:rsidR="00B66265" w:rsidRPr="00CB2009" w:rsidRDefault="00B66265" w:rsidP="00D7791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CB2009">
        <w:rPr>
          <w:rFonts w:ascii="Tahoma" w:hAnsi="Tahoma" w:cs="Tahoma"/>
          <w:b/>
          <w:bCs/>
          <w:color w:val="FFFFFF"/>
          <w:sz w:val="20"/>
          <w:szCs w:val="20"/>
        </w:rPr>
        <w:t>5. Σχετικά έντυπα</w:t>
      </w:r>
    </w:p>
    <w:tbl>
      <w:tblPr>
        <w:tblW w:w="8266" w:type="dxa"/>
        <w:jc w:val="center"/>
        <w:tblInd w:w="47" w:type="dxa"/>
        <w:tblLook w:val="01E0" w:firstRow="1" w:lastRow="1" w:firstColumn="1" w:lastColumn="1" w:noHBand="0" w:noVBand="0"/>
      </w:tblPr>
      <w:tblGrid>
        <w:gridCol w:w="1304"/>
        <w:gridCol w:w="6962"/>
      </w:tblGrid>
      <w:tr w:rsidR="00B66265" w:rsidRPr="00ED6A2F" w:rsidTr="00ED6A2F">
        <w:trPr>
          <w:tblHeader/>
          <w:jc w:val="center"/>
        </w:trPr>
        <w:tc>
          <w:tcPr>
            <w:tcW w:w="1304" w:type="dxa"/>
            <w:tcBorders>
              <w:top w:val="nil"/>
              <w:left w:val="nil"/>
              <w:bottom w:val="single" w:sz="4" w:space="0" w:color="auto"/>
              <w:right w:val="nil"/>
            </w:tcBorders>
            <w:vAlign w:val="center"/>
          </w:tcPr>
          <w:p w:rsidR="00B66265" w:rsidRPr="00030129" w:rsidRDefault="00B66265" w:rsidP="002931D7">
            <w:pPr>
              <w:overflowPunct w:val="0"/>
              <w:autoSpaceDE w:val="0"/>
              <w:autoSpaceDN w:val="0"/>
              <w:adjustRightInd w:val="0"/>
              <w:spacing w:before="60" w:after="60" w:line="280" w:lineRule="exact"/>
              <w:jc w:val="left"/>
              <w:rPr>
                <w:rFonts w:ascii="Tahoma" w:hAnsi="Tahoma" w:cs="Tahoma"/>
                <w:b/>
                <w:sz w:val="20"/>
                <w:szCs w:val="20"/>
                <w:lang w:eastAsia="en-US"/>
              </w:rPr>
            </w:pPr>
            <w:r w:rsidRPr="00030129">
              <w:rPr>
                <w:rFonts w:ascii="Tahoma" w:hAnsi="Tahoma" w:cs="Tahoma"/>
                <w:b/>
                <w:sz w:val="20"/>
                <w:szCs w:val="20"/>
                <w:lang w:eastAsia="en-US"/>
              </w:rPr>
              <w:t>Κωδικός</w:t>
            </w:r>
          </w:p>
        </w:tc>
        <w:tc>
          <w:tcPr>
            <w:tcW w:w="6962" w:type="dxa"/>
            <w:tcBorders>
              <w:top w:val="nil"/>
              <w:left w:val="nil"/>
              <w:bottom w:val="single" w:sz="4" w:space="0" w:color="auto"/>
              <w:right w:val="nil"/>
            </w:tcBorders>
          </w:tcPr>
          <w:p w:rsidR="00B66265" w:rsidRPr="00030129" w:rsidRDefault="00B66265" w:rsidP="002931D7">
            <w:pPr>
              <w:overflowPunct w:val="0"/>
              <w:autoSpaceDE w:val="0"/>
              <w:autoSpaceDN w:val="0"/>
              <w:adjustRightInd w:val="0"/>
              <w:spacing w:before="60" w:after="60" w:line="280" w:lineRule="exact"/>
              <w:jc w:val="left"/>
              <w:rPr>
                <w:rFonts w:ascii="Tahoma" w:hAnsi="Tahoma" w:cs="Tahoma"/>
                <w:b/>
                <w:sz w:val="20"/>
                <w:szCs w:val="20"/>
                <w:lang w:eastAsia="en-US"/>
              </w:rPr>
            </w:pPr>
            <w:r w:rsidRPr="00030129">
              <w:rPr>
                <w:rFonts w:ascii="Tahoma" w:hAnsi="Tahoma" w:cs="Tahoma"/>
                <w:b/>
                <w:sz w:val="20"/>
                <w:szCs w:val="20"/>
                <w:lang w:eastAsia="en-US"/>
              </w:rPr>
              <w:t>Περιγραφή</w:t>
            </w:r>
          </w:p>
        </w:tc>
      </w:tr>
      <w:tr w:rsidR="00B66265" w:rsidRPr="007E1B7B" w:rsidTr="00ED6A2F">
        <w:trPr>
          <w:jc w:val="center"/>
        </w:trPr>
        <w:tc>
          <w:tcPr>
            <w:tcW w:w="1304" w:type="dxa"/>
            <w:tcBorders>
              <w:top w:val="single" w:sz="4" w:space="0" w:color="auto"/>
              <w:left w:val="nil"/>
              <w:bottom w:val="single" w:sz="4" w:space="0" w:color="auto"/>
              <w:right w:val="nil"/>
            </w:tcBorders>
            <w:vAlign w:val="center"/>
          </w:tcPr>
          <w:p w:rsidR="00B66265" w:rsidRPr="00030129" w:rsidRDefault="00B66265" w:rsidP="002931D7">
            <w:pPr>
              <w:overflowPunct w:val="0"/>
              <w:autoSpaceDE w:val="0"/>
              <w:autoSpaceDN w:val="0"/>
              <w:adjustRightInd w:val="0"/>
              <w:spacing w:before="60" w:after="60"/>
              <w:jc w:val="left"/>
              <w:rPr>
                <w:rFonts w:ascii="Tahoma" w:hAnsi="Tahoma" w:cs="Tahoma"/>
                <w:b/>
                <w:sz w:val="20"/>
                <w:szCs w:val="20"/>
                <w:highlight w:val="red"/>
                <w:lang w:eastAsia="en-US"/>
              </w:rPr>
            </w:pPr>
            <w:r w:rsidRPr="00030129">
              <w:rPr>
                <w:rFonts w:ascii="Tahoma" w:hAnsi="Tahoma" w:cs="Tahoma"/>
                <w:sz w:val="20"/>
                <w:szCs w:val="20"/>
              </w:rPr>
              <w:t>Ε.VII.1_1:</w:t>
            </w:r>
          </w:p>
        </w:tc>
        <w:tc>
          <w:tcPr>
            <w:tcW w:w="6962" w:type="dxa"/>
            <w:tcBorders>
              <w:top w:val="single" w:sz="4" w:space="0" w:color="auto"/>
              <w:left w:val="nil"/>
              <w:bottom w:val="single" w:sz="4" w:space="0" w:color="auto"/>
              <w:right w:val="nil"/>
            </w:tcBorders>
          </w:tcPr>
          <w:p w:rsidR="00B66265" w:rsidRPr="00030129" w:rsidRDefault="00B66265" w:rsidP="00064B80">
            <w:pPr>
              <w:spacing w:before="60" w:after="60"/>
              <w:jc w:val="left"/>
              <w:rPr>
                <w:rFonts w:ascii="Tahoma" w:hAnsi="Tahoma" w:cs="Tahoma"/>
                <w:sz w:val="20"/>
                <w:szCs w:val="20"/>
                <w:lang w:eastAsia="en-US"/>
              </w:rPr>
            </w:pPr>
            <w:r w:rsidRPr="00030129">
              <w:rPr>
                <w:rFonts w:ascii="Tahoma" w:hAnsi="Tahoma" w:cs="Tahoma"/>
                <w:sz w:val="20"/>
                <w:szCs w:val="20"/>
              </w:rPr>
              <w:t xml:space="preserve">Πρωτόκολλο Περιοδικής </w:t>
            </w:r>
            <w:r w:rsidR="00064B80">
              <w:rPr>
                <w:rFonts w:ascii="Tahoma" w:hAnsi="Tahoma" w:cs="Tahoma"/>
                <w:sz w:val="20"/>
                <w:szCs w:val="20"/>
              </w:rPr>
              <w:t>Δήλωσης</w:t>
            </w:r>
            <w:r w:rsidRPr="00030129">
              <w:rPr>
                <w:rFonts w:ascii="Tahoma" w:hAnsi="Tahoma" w:cs="Tahoma"/>
                <w:sz w:val="20"/>
                <w:szCs w:val="20"/>
              </w:rPr>
              <w:t xml:space="preserve"> (ΠΠ</w:t>
            </w:r>
            <w:r w:rsidR="00064B80">
              <w:rPr>
                <w:rFonts w:ascii="Tahoma" w:hAnsi="Tahoma" w:cs="Tahoma"/>
                <w:sz w:val="20"/>
                <w:szCs w:val="20"/>
              </w:rPr>
              <w:t>Δ</w:t>
            </w:r>
            <w:r w:rsidRPr="00030129">
              <w:rPr>
                <w:rFonts w:ascii="Tahoma" w:hAnsi="Tahoma" w:cs="Tahoma"/>
                <w:sz w:val="20"/>
                <w:szCs w:val="20"/>
              </w:rPr>
              <w:t>)</w:t>
            </w:r>
          </w:p>
        </w:tc>
      </w:tr>
    </w:tbl>
    <w:p w:rsidR="00B66265" w:rsidRPr="00353D2E" w:rsidRDefault="00B66265" w:rsidP="00353D2E">
      <w:pPr>
        <w:spacing w:after="120" w:line="280" w:lineRule="atLeast"/>
        <w:rPr>
          <w:rFonts w:ascii="Tahoma" w:hAnsi="Tahoma" w:cs="Tahoma"/>
          <w:sz w:val="20"/>
          <w:szCs w:val="20"/>
        </w:rPr>
      </w:pPr>
      <w:r w:rsidRPr="00353D2E">
        <w:rPr>
          <w:rFonts w:ascii="Tahoma" w:hAnsi="Tahoma" w:cs="Tahoma"/>
          <w:sz w:val="20"/>
          <w:szCs w:val="20"/>
        </w:rPr>
        <w:t>Επίσης, χρη</w:t>
      </w:r>
      <w:r>
        <w:rPr>
          <w:rFonts w:ascii="Tahoma" w:hAnsi="Tahoma" w:cs="Tahoma"/>
          <w:sz w:val="20"/>
          <w:szCs w:val="20"/>
        </w:rPr>
        <w:t>σιμοποιείται το Υ</w:t>
      </w:r>
      <w:r w:rsidRPr="00353D2E">
        <w:rPr>
          <w:rFonts w:ascii="Tahoma" w:hAnsi="Tahoma" w:cs="Tahoma"/>
          <w:sz w:val="20"/>
          <w:szCs w:val="20"/>
        </w:rPr>
        <w:t xml:space="preserve">πόδειγμα για την Αίτηση Πληρωμής του Παραρτήματος </w:t>
      </w:r>
      <w:r w:rsidRPr="00353D2E">
        <w:rPr>
          <w:rFonts w:ascii="Tahoma" w:hAnsi="Tahoma" w:cs="Tahoma"/>
          <w:sz w:val="20"/>
          <w:szCs w:val="20"/>
          <w:lang w:val="en-US"/>
        </w:rPr>
        <w:t>VI</w:t>
      </w:r>
      <w:r w:rsidRPr="00353D2E">
        <w:rPr>
          <w:rFonts w:ascii="Tahoma" w:hAnsi="Tahoma" w:cs="Tahoma"/>
          <w:sz w:val="20"/>
          <w:szCs w:val="20"/>
        </w:rPr>
        <w:t xml:space="preserve"> του Καν. 1011/2014. </w:t>
      </w:r>
    </w:p>
    <w:p w:rsidR="00B66265" w:rsidRPr="00CB2009" w:rsidRDefault="00B66265" w:rsidP="00D77916">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CB2009">
        <w:rPr>
          <w:rFonts w:ascii="Tahoma" w:hAnsi="Tahoma" w:cs="Tahoma"/>
          <w:b/>
          <w:bCs/>
          <w:color w:val="FFFFFF"/>
          <w:sz w:val="20"/>
          <w:szCs w:val="20"/>
        </w:rPr>
        <w:t>6. Διάγραμμα ροής</w:t>
      </w:r>
    </w:p>
    <w:p w:rsidR="009F2C25" w:rsidRPr="009F2C25" w:rsidRDefault="009F2C25" w:rsidP="009C7D0D">
      <w:pPr>
        <w:rPr>
          <w:rFonts w:ascii="Tahoma" w:hAnsi="Tahoma" w:cs="Tahoma"/>
          <w:sz w:val="20"/>
          <w:szCs w:val="20"/>
        </w:rPr>
      </w:pPr>
      <w:r w:rsidRPr="009F2C25">
        <w:rPr>
          <w:rFonts w:ascii="Tahoma" w:hAnsi="Tahoma" w:cs="Tahoma"/>
          <w:sz w:val="20"/>
          <w:szCs w:val="20"/>
        </w:rPr>
        <w:t>Βλέπε επόμενη σελίδα</w:t>
      </w:r>
    </w:p>
    <w:p w:rsidR="009F2C25" w:rsidRPr="009F2C25" w:rsidRDefault="009F2C25" w:rsidP="009C7D0D">
      <w:pPr>
        <w:sectPr w:rsidR="009F2C25" w:rsidRPr="009F2C25" w:rsidSect="00BE08BB">
          <w:headerReference w:type="even" r:id="rId9"/>
          <w:headerReference w:type="default" r:id="rId10"/>
          <w:footerReference w:type="even" r:id="rId11"/>
          <w:footerReference w:type="default" r:id="rId12"/>
          <w:headerReference w:type="first" r:id="rId13"/>
          <w:footerReference w:type="first" r:id="rId14"/>
          <w:pgSz w:w="11906" w:h="16838"/>
          <w:pgMar w:top="1021" w:right="1247" w:bottom="1247" w:left="1418" w:header="709" w:footer="0" w:gutter="0"/>
          <w:cols w:space="708"/>
          <w:rtlGutter/>
          <w:docGrid w:linePitch="360"/>
        </w:sectPr>
      </w:pPr>
    </w:p>
    <w:p w:rsidR="009F2C25" w:rsidRPr="009F2C25" w:rsidRDefault="009F2C25" w:rsidP="009C7D0D">
      <w:pPr>
        <w:rPr>
          <w:lang w:val="en-US"/>
        </w:rPr>
      </w:pPr>
      <w:r>
        <w:object w:dxaOrig="10886" w:dyaOrig="12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7.75pt;height:554.25pt" o:ole="">
            <v:imagedata r:id="rId15" o:title=""/>
          </v:shape>
          <o:OLEObject Type="Embed" ProgID="Visio.Drawing.11" ShapeID="_x0000_i1026" DrawAspect="Content" ObjectID="_1508665126" r:id="rId16"/>
        </w:object>
      </w:r>
      <w:bookmarkStart w:id="2" w:name="_GoBack"/>
      <w:bookmarkEnd w:id="2"/>
    </w:p>
    <w:sectPr w:rsidR="009F2C25" w:rsidRPr="009F2C25" w:rsidSect="00BE08BB">
      <w:pgSz w:w="11906" w:h="16838"/>
      <w:pgMar w:top="1021" w:right="1247" w:bottom="1247" w:left="1418" w:header="709" w:footer="0"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F4D" w:rsidRDefault="00586F4D" w:rsidP="00882E5E">
      <w:r>
        <w:separator/>
      </w:r>
    </w:p>
  </w:endnote>
  <w:endnote w:type="continuationSeparator" w:id="0">
    <w:p w:rsidR="00586F4D" w:rsidRDefault="00586F4D"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F2" w:rsidRDefault="00C861F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66265" w:rsidRPr="00CB47BE" w:rsidTr="00C54173">
      <w:trPr>
        <w:jc w:val="center"/>
      </w:trPr>
      <w:tc>
        <w:tcPr>
          <w:tcW w:w="3383" w:type="dxa"/>
          <w:tcBorders>
            <w:top w:val="single" w:sz="4" w:space="0" w:color="auto"/>
          </w:tcBorders>
        </w:tcPr>
        <w:p w:rsidR="00B66265" w:rsidRPr="002A406F" w:rsidRDefault="00B66265" w:rsidP="009D7D74">
          <w:pPr>
            <w:jc w:val="left"/>
            <w:rPr>
              <w:rFonts w:ascii="Tahoma" w:hAnsi="Tahoma" w:cs="Tahoma"/>
              <w:bCs/>
              <w:sz w:val="16"/>
              <w:szCs w:val="16"/>
            </w:rPr>
          </w:pPr>
          <w:r w:rsidRPr="002A406F">
            <w:rPr>
              <w:rFonts w:ascii="Tahoma" w:hAnsi="Tahoma" w:cs="Tahoma"/>
              <w:bCs/>
              <w:sz w:val="16"/>
              <w:szCs w:val="16"/>
            </w:rPr>
            <w:t>Διαδικασία: Δ</w:t>
          </w:r>
          <w:r w:rsidRPr="002A406F">
            <w:rPr>
              <w:rFonts w:ascii="Tahoma" w:hAnsi="Tahoma" w:cs="Tahoma"/>
              <w:bCs/>
              <w:sz w:val="16"/>
              <w:szCs w:val="16"/>
              <w:lang w:val="en-US"/>
            </w:rPr>
            <w:t>VI</w:t>
          </w:r>
          <w:r w:rsidRPr="002A406F">
            <w:rPr>
              <w:rFonts w:ascii="Tahoma" w:hAnsi="Tahoma" w:cs="Tahoma"/>
              <w:bCs/>
              <w:sz w:val="16"/>
              <w:szCs w:val="16"/>
            </w:rPr>
            <w:t>Ι_1</w:t>
          </w:r>
        </w:p>
        <w:p w:rsidR="00B66265" w:rsidRPr="002A406F" w:rsidRDefault="00B66265" w:rsidP="00C54173">
          <w:pPr>
            <w:spacing w:before="0"/>
            <w:jc w:val="left"/>
            <w:rPr>
              <w:rFonts w:ascii="Tahoma" w:hAnsi="Tahoma" w:cs="Tahoma"/>
              <w:bCs/>
              <w:sz w:val="16"/>
              <w:szCs w:val="16"/>
            </w:rPr>
          </w:pPr>
          <w:r w:rsidRPr="002A406F">
            <w:rPr>
              <w:rFonts w:ascii="Tahoma" w:hAnsi="Tahoma" w:cs="Tahoma"/>
              <w:bCs/>
              <w:sz w:val="16"/>
              <w:szCs w:val="16"/>
            </w:rPr>
            <w:t>Έκδοση:</w:t>
          </w:r>
          <w:r w:rsidR="006A435B">
            <w:rPr>
              <w:rFonts w:ascii="Tahoma" w:hAnsi="Tahoma" w:cs="Tahoma"/>
              <w:bCs/>
              <w:sz w:val="16"/>
              <w:szCs w:val="16"/>
            </w:rPr>
            <w:t xml:space="preserve"> </w:t>
          </w:r>
          <w:r w:rsidRPr="002A406F">
            <w:rPr>
              <w:rFonts w:ascii="Tahoma" w:hAnsi="Tahoma" w:cs="Tahoma"/>
              <w:bCs/>
              <w:sz w:val="16"/>
              <w:szCs w:val="16"/>
            </w:rPr>
            <w:t>1</w:t>
          </w:r>
          <w:r w:rsidRPr="002A406F">
            <w:rPr>
              <w:rFonts w:ascii="Tahoma" w:hAnsi="Tahoma" w:cs="Tahoma"/>
              <w:bCs/>
              <w:sz w:val="16"/>
              <w:szCs w:val="16"/>
              <w:vertAlign w:val="superscript"/>
            </w:rPr>
            <w:t>η</w:t>
          </w:r>
          <w:r w:rsidR="006011AD">
            <w:rPr>
              <w:rFonts w:ascii="Tahoma" w:hAnsi="Tahoma" w:cs="Tahoma"/>
              <w:bCs/>
              <w:sz w:val="16"/>
              <w:szCs w:val="16"/>
            </w:rPr>
            <w:t xml:space="preserve">  </w:t>
          </w:r>
        </w:p>
        <w:p w:rsidR="00B66265" w:rsidRPr="00CB47BE" w:rsidRDefault="00B66265" w:rsidP="006A435B">
          <w:pPr>
            <w:spacing w:before="0"/>
            <w:jc w:val="left"/>
            <w:rPr>
              <w:bCs/>
              <w:szCs w:val="20"/>
            </w:rPr>
          </w:pPr>
          <w:r w:rsidRPr="002A406F">
            <w:rPr>
              <w:rFonts w:ascii="Tahoma" w:hAnsi="Tahoma" w:cs="Tahoma"/>
              <w:bCs/>
              <w:sz w:val="16"/>
              <w:szCs w:val="16"/>
            </w:rPr>
            <w:t>Ημ. Έκδοσης:</w:t>
          </w:r>
          <w:r w:rsidR="006A435B">
            <w:rPr>
              <w:rFonts w:ascii="Tahoma" w:hAnsi="Tahoma" w:cs="Tahoma"/>
              <w:bCs/>
              <w:sz w:val="16"/>
              <w:szCs w:val="16"/>
            </w:rPr>
            <w:t xml:space="preserve"> 30</w:t>
          </w:r>
          <w:r w:rsidR="006011AD" w:rsidRPr="00840521">
            <w:rPr>
              <w:rFonts w:ascii="Tahoma" w:hAnsi="Tahoma" w:cs="Tahoma"/>
              <w:bCs/>
              <w:sz w:val="16"/>
              <w:szCs w:val="16"/>
            </w:rPr>
            <w:t>.</w:t>
          </w:r>
          <w:r w:rsidR="006A435B">
            <w:rPr>
              <w:rFonts w:ascii="Tahoma" w:hAnsi="Tahoma" w:cs="Tahoma"/>
              <w:bCs/>
              <w:sz w:val="16"/>
              <w:szCs w:val="16"/>
            </w:rPr>
            <w:t>10</w:t>
          </w:r>
          <w:r w:rsidR="006011AD" w:rsidRPr="00840521">
            <w:rPr>
              <w:rFonts w:ascii="Tahoma" w:hAnsi="Tahoma" w:cs="Tahoma"/>
              <w:bCs/>
              <w:sz w:val="16"/>
              <w:szCs w:val="16"/>
            </w:rPr>
            <w:t>.2015</w:t>
          </w:r>
        </w:p>
      </w:tc>
      <w:tc>
        <w:tcPr>
          <w:tcW w:w="2850" w:type="dxa"/>
          <w:tcBorders>
            <w:top w:val="single" w:sz="4" w:space="0" w:color="auto"/>
          </w:tcBorders>
          <w:vAlign w:val="center"/>
        </w:tcPr>
        <w:p w:rsidR="00B66265" w:rsidRPr="002A406F" w:rsidRDefault="00B66265" w:rsidP="00C54173">
          <w:pPr>
            <w:spacing w:before="0"/>
            <w:rPr>
              <w:rFonts w:ascii="Tahoma" w:hAnsi="Tahoma" w:cs="Tahoma"/>
              <w:bCs/>
              <w:sz w:val="16"/>
              <w:szCs w:val="16"/>
            </w:rPr>
          </w:pPr>
          <w:r w:rsidRPr="002A406F">
            <w:rPr>
              <w:rFonts w:ascii="Tahoma" w:hAnsi="Tahoma" w:cs="Tahoma"/>
              <w:bCs/>
              <w:sz w:val="16"/>
              <w:szCs w:val="16"/>
            </w:rPr>
            <w:t xml:space="preserve">                - </w:t>
          </w:r>
          <w:r w:rsidRPr="002A406F">
            <w:rPr>
              <w:rFonts w:ascii="Tahoma" w:hAnsi="Tahoma" w:cs="Tahoma"/>
              <w:bCs/>
              <w:sz w:val="16"/>
              <w:szCs w:val="16"/>
            </w:rPr>
            <w:fldChar w:fldCharType="begin"/>
          </w:r>
          <w:r w:rsidRPr="002A406F">
            <w:rPr>
              <w:rFonts w:ascii="Tahoma" w:hAnsi="Tahoma" w:cs="Tahoma"/>
              <w:bCs/>
              <w:sz w:val="16"/>
              <w:szCs w:val="16"/>
            </w:rPr>
            <w:instrText xml:space="preserve"> PAGE </w:instrText>
          </w:r>
          <w:r w:rsidRPr="002A406F">
            <w:rPr>
              <w:rFonts w:ascii="Tahoma" w:hAnsi="Tahoma" w:cs="Tahoma"/>
              <w:bCs/>
              <w:sz w:val="16"/>
              <w:szCs w:val="16"/>
            </w:rPr>
            <w:fldChar w:fldCharType="separate"/>
          </w:r>
          <w:r w:rsidR="00F20274">
            <w:rPr>
              <w:rFonts w:ascii="Tahoma" w:hAnsi="Tahoma" w:cs="Tahoma"/>
              <w:bCs/>
              <w:noProof/>
              <w:sz w:val="16"/>
              <w:szCs w:val="16"/>
            </w:rPr>
            <w:t>6</w:t>
          </w:r>
          <w:r w:rsidRPr="002A406F">
            <w:rPr>
              <w:rFonts w:ascii="Tahoma" w:hAnsi="Tahoma" w:cs="Tahoma"/>
              <w:bCs/>
              <w:sz w:val="16"/>
              <w:szCs w:val="16"/>
            </w:rPr>
            <w:fldChar w:fldCharType="end"/>
          </w:r>
          <w:r w:rsidRPr="002A406F">
            <w:rPr>
              <w:rFonts w:ascii="Tahoma" w:hAnsi="Tahoma" w:cs="Tahoma"/>
              <w:bCs/>
              <w:sz w:val="16"/>
              <w:szCs w:val="16"/>
            </w:rPr>
            <w:t xml:space="preserve"> -</w:t>
          </w:r>
        </w:p>
      </w:tc>
      <w:tc>
        <w:tcPr>
          <w:tcW w:w="2798" w:type="dxa"/>
          <w:tcBorders>
            <w:top w:val="single" w:sz="4" w:space="0" w:color="auto"/>
          </w:tcBorders>
          <w:vAlign w:val="center"/>
        </w:tcPr>
        <w:p w:rsidR="00B66265" w:rsidRPr="00CB47BE" w:rsidRDefault="00F20274" w:rsidP="009D7D74">
          <w:pPr>
            <w:jc w:val="right"/>
            <w:rPr>
              <w:bCs/>
              <w:szCs w:val="20"/>
            </w:rPr>
          </w:pPr>
          <w:r>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espa1420_logo_rgb" style="width:54pt;height:32.25pt;visibility:visible">
                <v:imagedata r:id="rId1" o:title=""/>
              </v:shape>
            </w:pict>
          </w:r>
        </w:p>
      </w:tc>
    </w:tr>
  </w:tbl>
  <w:p w:rsidR="00B66265" w:rsidRPr="00131DE4" w:rsidRDefault="00B66265" w:rsidP="00654A1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F2" w:rsidRDefault="00C861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F4D" w:rsidRDefault="00586F4D" w:rsidP="00882E5E">
      <w:r>
        <w:separator/>
      </w:r>
    </w:p>
  </w:footnote>
  <w:footnote w:type="continuationSeparator" w:id="0">
    <w:p w:rsidR="00586F4D" w:rsidRDefault="00586F4D" w:rsidP="00882E5E">
      <w:r>
        <w:continuationSeparator/>
      </w:r>
    </w:p>
  </w:footnote>
  <w:footnote w:id="1">
    <w:p w:rsidR="00610207" w:rsidRDefault="00610207">
      <w:pPr>
        <w:pStyle w:val="a9"/>
      </w:pPr>
      <w:r>
        <w:rPr>
          <w:rStyle w:val="af2"/>
        </w:rPr>
        <w:footnoteRef/>
      </w:r>
      <w:r>
        <w:t xml:space="preserve"> </w:t>
      </w:r>
      <w:r w:rsidRPr="00BE6CA0">
        <w:rPr>
          <w:rFonts w:ascii="Tahoma" w:hAnsi="Tahoma" w:cs="Tahoma"/>
          <w:color w:val="000000"/>
          <w:sz w:val="16"/>
          <w:szCs w:val="16"/>
        </w:rPr>
        <w:t xml:space="preserve">η περίοδος από 1 Ιουλίου </w:t>
      </w:r>
      <w:r>
        <w:rPr>
          <w:rFonts w:ascii="Tahoma" w:hAnsi="Tahoma" w:cs="Tahoma"/>
          <w:color w:val="000000"/>
          <w:sz w:val="16"/>
          <w:szCs w:val="16"/>
        </w:rPr>
        <w:t xml:space="preserve">του ημερολογιακού έτους Ν-1 </w:t>
      </w:r>
      <w:r w:rsidRPr="00BE6CA0">
        <w:rPr>
          <w:rFonts w:ascii="Tahoma" w:hAnsi="Tahoma" w:cs="Tahoma"/>
          <w:color w:val="000000"/>
          <w:sz w:val="16"/>
          <w:szCs w:val="16"/>
        </w:rPr>
        <w:t>έως 30 Ιουνίου</w:t>
      </w:r>
      <w:r>
        <w:rPr>
          <w:rFonts w:ascii="Tahoma" w:hAnsi="Tahoma" w:cs="Tahoma"/>
          <w:color w:val="000000"/>
          <w:sz w:val="16"/>
          <w:szCs w:val="16"/>
        </w:rPr>
        <w:t xml:space="preserve"> του ημερολογιακού έτους 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F2" w:rsidRDefault="00C861F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F2" w:rsidRDefault="00C861F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F2" w:rsidRDefault="00C861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EA54366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70CA050"/>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3EBC1366"/>
    <w:lvl w:ilvl="0">
      <w:start w:val="1"/>
      <w:numFmt w:val="bullet"/>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0A7F49"/>
    <w:multiLevelType w:val="hybridMultilevel"/>
    <w:tmpl w:val="FB18501C"/>
    <w:lvl w:ilvl="0" w:tplc="C540C5B8">
      <w:start w:val="1"/>
      <w:numFmt w:val="bullet"/>
      <w:lvlText w:val="-"/>
      <w:lvlJc w:val="left"/>
      <w:pPr>
        <w:ind w:left="720" w:hanging="360"/>
      </w:pPr>
      <w:rPr>
        <w:rFonts w:ascii="Arial Narrow" w:eastAsia="Times New Roman" w:hAnsi="Arial Narro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1F64BB"/>
    <w:multiLevelType w:val="hybridMultilevel"/>
    <w:tmpl w:val="5C7C5DE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8">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9">
    <w:nsid w:val="1C4839A9"/>
    <w:multiLevelType w:val="hybridMultilevel"/>
    <w:tmpl w:val="8EAAA31E"/>
    <w:lvl w:ilvl="0" w:tplc="C0DAE768">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E16738F"/>
    <w:multiLevelType w:val="hybridMultilevel"/>
    <w:tmpl w:val="06901E2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pStyle w:val="20"/>
      <w:lvlText w:val="Διαδικασία Δ%1_%2:"/>
      <w:lvlJc w:val="left"/>
      <w:pPr>
        <w:ind w:left="2136"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3">
    <w:nsid w:val="26F07C4D"/>
    <w:multiLevelType w:val="hybridMultilevel"/>
    <w:tmpl w:val="CB84FB90"/>
    <w:lvl w:ilvl="0" w:tplc="7D62A2C8">
      <w:start w:val="1"/>
      <w:numFmt w:val="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B702D5B"/>
    <w:multiLevelType w:val="hybridMultilevel"/>
    <w:tmpl w:val="79E489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42B4819"/>
    <w:multiLevelType w:val="hybridMultilevel"/>
    <w:tmpl w:val="6F72FB64"/>
    <w:lvl w:ilvl="0" w:tplc="D514FFC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59E612B8"/>
    <w:multiLevelType w:val="hybridMultilevel"/>
    <w:tmpl w:val="AB8EE9C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8">
    <w:nsid w:val="5C2B2167"/>
    <w:multiLevelType w:val="hybridMultilevel"/>
    <w:tmpl w:val="2F4CE7F2"/>
    <w:lvl w:ilvl="0" w:tplc="A894D054">
      <w:start w:val="1"/>
      <w:numFmt w:val="lowerRoman"/>
      <w:lvlText w:val="%1."/>
      <w:lvlJc w:val="left"/>
      <w:pPr>
        <w:tabs>
          <w:tab w:val="num" w:pos="360"/>
        </w:tabs>
        <w:ind w:left="360" w:hanging="360"/>
      </w:pPr>
      <w:rPr>
        <w:rFonts w:cs="Times New Roman"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rPr>
        <w:rFonts w:cs="Times New Roman"/>
      </w:rPr>
    </w:lvl>
    <w:lvl w:ilvl="3" w:tplc="04080001" w:tentative="1">
      <w:start w:val="1"/>
      <w:numFmt w:val="decimal"/>
      <w:lvlText w:val="%4."/>
      <w:lvlJc w:val="left"/>
      <w:pPr>
        <w:tabs>
          <w:tab w:val="num" w:pos="1669"/>
        </w:tabs>
        <w:ind w:left="1669" w:hanging="360"/>
      </w:pPr>
      <w:rPr>
        <w:rFonts w:cs="Times New Roman"/>
      </w:rPr>
    </w:lvl>
    <w:lvl w:ilvl="4" w:tplc="04080003" w:tentative="1">
      <w:start w:val="1"/>
      <w:numFmt w:val="lowerLetter"/>
      <w:lvlText w:val="%5."/>
      <w:lvlJc w:val="left"/>
      <w:pPr>
        <w:tabs>
          <w:tab w:val="num" w:pos="2389"/>
        </w:tabs>
        <w:ind w:left="2389" w:hanging="360"/>
      </w:pPr>
      <w:rPr>
        <w:rFonts w:cs="Times New Roman"/>
      </w:rPr>
    </w:lvl>
    <w:lvl w:ilvl="5" w:tplc="04080005" w:tentative="1">
      <w:start w:val="1"/>
      <w:numFmt w:val="lowerRoman"/>
      <w:lvlText w:val="%6."/>
      <w:lvlJc w:val="right"/>
      <w:pPr>
        <w:tabs>
          <w:tab w:val="num" w:pos="3109"/>
        </w:tabs>
        <w:ind w:left="3109" w:hanging="180"/>
      </w:pPr>
      <w:rPr>
        <w:rFonts w:cs="Times New Roman"/>
      </w:rPr>
    </w:lvl>
    <w:lvl w:ilvl="6" w:tplc="04080001" w:tentative="1">
      <w:start w:val="1"/>
      <w:numFmt w:val="decimal"/>
      <w:lvlText w:val="%7."/>
      <w:lvlJc w:val="left"/>
      <w:pPr>
        <w:tabs>
          <w:tab w:val="num" w:pos="3829"/>
        </w:tabs>
        <w:ind w:left="3829" w:hanging="360"/>
      </w:pPr>
      <w:rPr>
        <w:rFonts w:cs="Times New Roman"/>
      </w:rPr>
    </w:lvl>
    <w:lvl w:ilvl="7" w:tplc="04080003" w:tentative="1">
      <w:start w:val="1"/>
      <w:numFmt w:val="lowerLetter"/>
      <w:lvlText w:val="%8."/>
      <w:lvlJc w:val="left"/>
      <w:pPr>
        <w:tabs>
          <w:tab w:val="num" w:pos="4549"/>
        </w:tabs>
        <w:ind w:left="4549" w:hanging="360"/>
      </w:pPr>
      <w:rPr>
        <w:rFonts w:cs="Times New Roman"/>
      </w:rPr>
    </w:lvl>
    <w:lvl w:ilvl="8" w:tplc="04080005" w:tentative="1">
      <w:start w:val="1"/>
      <w:numFmt w:val="lowerRoman"/>
      <w:lvlText w:val="%9."/>
      <w:lvlJc w:val="right"/>
      <w:pPr>
        <w:tabs>
          <w:tab w:val="num" w:pos="5269"/>
        </w:tabs>
        <w:ind w:left="5269" w:hanging="180"/>
      </w:pPr>
      <w:rPr>
        <w:rFonts w:cs="Times New Roman"/>
      </w:rPr>
    </w:lvl>
  </w:abstractNum>
  <w:abstractNum w:abstractNumId="19">
    <w:nsid w:val="662613D3"/>
    <w:multiLevelType w:val="hybridMultilevel"/>
    <w:tmpl w:val="7E761084"/>
    <w:lvl w:ilvl="0" w:tplc="CC72DB26">
      <w:start w:val="1"/>
      <w:numFmt w:val="lowerRoman"/>
      <w:lvlText w:val="%1."/>
      <w:lvlJc w:val="left"/>
      <w:pPr>
        <w:tabs>
          <w:tab w:val="num" w:pos="360"/>
        </w:tabs>
        <w:ind w:left="36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16E6109"/>
    <w:multiLevelType w:val="hybridMultilevel"/>
    <w:tmpl w:val="C79EB240"/>
    <w:lvl w:ilvl="0" w:tplc="7D62A2C8">
      <w:start w:val="1"/>
      <w:numFmt w:val="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nsid w:val="787F6457"/>
    <w:multiLevelType w:val="hybridMultilevel"/>
    <w:tmpl w:val="593605A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20"/>
  </w:num>
  <w:num w:numId="10">
    <w:abstractNumId w:val="12"/>
  </w:num>
  <w:num w:numId="11">
    <w:abstractNumId w:val="10"/>
  </w:num>
  <w:num w:numId="12">
    <w:abstractNumId w:val="18"/>
  </w:num>
  <w:num w:numId="13">
    <w:abstractNumId w:val="4"/>
  </w:num>
  <w:num w:numId="14">
    <w:abstractNumId w:val="7"/>
  </w:num>
  <w:num w:numId="15">
    <w:abstractNumId w:val="24"/>
  </w:num>
  <w:num w:numId="16">
    <w:abstractNumId w:val="17"/>
  </w:num>
  <w:num w:numId="17">
    <w:abstractNumId w:val="0"/>
  </w:num>
  <w:num w:numId="18">
    <w:abstractNumId w:val="8"/>
  </w:num>
  <w:num w:numId="19">
    <w:abstractNumId w:val="19"/>
  </w:num>
  <w:num w:numId="20">
    <w:abstractNumId w:val="22"/>
  </w:num>
  <w:num w:numId="21">
    <w:abstractNumId w:val="5"/>
  </w:num>
  <w:num w:numId="22">
    <w:abstractNumId w:val="16"/>
  </w:num>
  <w:num w:numId="23">
    <w:abstractNumId w:val="14"/>
  </w:num>
  <w:num w:numId="24">
    <w:abstractNumId w:val="13"/>
  </w:num>
  <w:num w:numId="25">
    <w:abstractNumId w:val="23"/>
  </w:num>
  <w:num w:numId="26">
    <w:abstractNumId w:val="6"/>
  </w:num>
  <w:num w:numId="27">
    <w:abstractNumId w:val="15"/>
  </w:num>
  <w:num w:numId="28">
    <w:abstractNumId w:val="11"/>
  </w:num>
  <w:num w:numId="29">
    <w:abstractNumId w:val="21"/>
  </w:num>
  <w:num w:numId="3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characterSpacingControl w:val="doNotCompress"/>
  <w:hdrShapeDefaults>
    <o:shapedefaults v:ext="edit" spidmax="286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E5E"/>
    <w:rsid w:val="000005F7"/>
    <w:rsid w:val="00000660"/>
    <w:rsid w:val="00000833"/>
    <w:rsid w:val="00000F3D"/>
    <w:rsid w:val="0000253C"/>
    <w:rsid w:val="000026B3"/>
    <w:rsid w:val="00003ED7"/>
    <w:rsid w:val="00004740"/>
    <w:rsid w:val="00004785"/>
    <w:rsid w:val="000052BA"/>
    <w:rsid w:val="0001011A"/>
    <w:rsid w:val="00010C17"/>
    <w:rsid w:val="00011063"/>
    <w:rsid w:val="00011542"/>
    <w:rsid w:val="00012901"/>
    <w:rsid w:val="00014293"/>
    <w:rsid w:val="00014D2E"/>
    <w:rsid w:val="00016FC5"/>
    <w:rsid w:val="00017087"/>
    <w:rsid w:val="000171F1"/>
    <w:rsid w:val="000176FC"/>
    <w:rsid w:val="0002005F"/>
    <w:rsid w:val="00021259"/>
    <w:rsid w:val="00025166"/>
    <w:rsid w:val="000268E2"/>
    <w:rsid w:val="000269FA"/>
    <w:rsid w:val="00027B72"/>
    <w:rsid w:val="0003000F"/>
    <w:rsid w:val="00030129"/>
    <w:rsid w:val="0003063B"/>
    <w:rsid w:val="0003066A"/>
    <w:rsid w:val="000309B2"/>
    <w:rsid w:val="00031CBF"/>
    <w:rsid w:val="00033074"/>
    <w:rsid w:val="0003499F"/>
    <w:rsid w:val="000358DC"/>
    <w:rsid w:val="0003752F"/>
    <w:rsid w:val="00040D66"/>
    <w:rsid w:val="0004182E"/>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4B80"/>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34B"/>
    <w:rsid w:val="000B0814"/>
    <w:rsid w:val="000B1C1E"/>
    <w:rsid w:val="000B39F3"/>
    <w:rsid w:val="000B41AB"/>
    <w:rsid w:val="000B44C0"/>
    <w:rsid w:val="000B4619"/>
    <w:rsid w:val="000B485A"/>
    <w:rsid w:val="000B58F6"/>
    <w:rsid w:val="000B5E14"/>
    <w:rsid w:val="000B61A4"/>
    <w:rsid w:val="000B746C"/>
    <w:rsid w:val="000B7D93"/>
    <w:rsid w:val="000C0A49"/>
    <w:rsid w:val="000C35DA"/>
    <w:rsid w:val="000C38A7"/>
    <w:rsid w:val="000C38AA"/>
    <w:rsid w:val="000C6424"/>
    <w:rsid w:val="000C65EA"/>
    <w:rsid w:val="000C691A"/>
    <w:rsid w:val="000D3F78"/>
    <w:rsid w:val="000D41B8"/>
    <w:rsid w:val="000D5FB6"/>
    <w:rsid w:val="000D6580"/>
    <w:rsid w:val="000D6FD7"/>
    <w:rsid w:val="000D7F35"/>
    <w:rsid w:val="000E12D6"/>
    <w:rsid w:val="000E18B3"/>
    <w:rsid w:val="000E2883"/>
    <w:rsid w:val="000E4607"/>
    <w:rsid w:val="000E4CC8"/>
    <w:rsid w:val="000E7582"/>
    <w:rsid w:val="000F185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ABE"/>
    <w:rsid w:val="00104CB3"/>
    <w:rsid w:val="0010680D"/>
    <w:rsid w:val="00106FFA"/>
    <w:rsid w:val="00111E9C"/>
    <w:rsid w:val="00112E4B"/>
    <w:rsid w:val="00112FD3"/>
    <w:rsid w:val="00113F02"/>
    <w:rsid w:val="001141C6"/>
    <w:rsid w:val="001155E5"/>
    <w:rsid w:val="00115A3C"/>
    <w:rsid w:val="0012117D"/>
    <w:rsid w:val="0012121D"/>
    <w:rsid w:val="0012141B"/>
    <w:rsid w:val="00122851"/>
    <w:rsid w:val="001238ED"/>
    <w:rsid w:val="00125500"/>
    <w:rsid w:val="0012564F"/>
    <w:rsid w:val="00125C52"/>
    <w:rsid w:val="00130FCF"/>
    <w:rsid w:val="0013164C"/>
    <w:rsid w:val="00131DE4"/>
    <w:rsid w:val="00132507"/>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69D"/>
    <w:rsid w:val="00150822"/>
    <w:rsid w:val="00151800"/>
    <w:rsid w:val="00152706"/>
    <w:rsid w:val="00152B33"/>
    <w:rsid w:val="00154587"/>
    <w:rsid w:val="00155D05"/>
    <w:rsid w:val="0015677A"/>
    <w:rsid w:val="00157F16"/>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4976"/>
    <w:rsid w:val="0018531E"/>
    <w:rsid w:val="001855CD"/>
    <w:rsid w:val="00185BBF"/>
    <w:rsid w:val="001878A1"/>
    <w:rsid w:val="0019006E"/>
    <w:rsid w:val="00191B05"/>
    <w:rsid w:val="00193586"/>
    <w:rsid w:val="0019494B"/>
    <w:rsid w:val="00194A48"/>
    <w:rsid w:val="001A0728"/>
    <w:rsid w:val="001A09FF"/>
    <w:rsid w:val="001A450D"/>
    <w:rsid w:val="001A6B86"/>
    <w:rsid w:val="001A6E94"/>
    <w:rsid w:val="001B1E03"/>
    <w:rsid w:val="001B2B29"/>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16DA"/>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3988"/>
    <w:rsid w:val="00205C28"/>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168A"/>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295D"/>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47F5"/>
    <w:rsid w:val="00285AED"/>
    <w:rsid w:val="00286699"/>
    <w:rsid w:val="0028682E"/>
    <w:rsid w:val="00286C8B"/>
    <w:rsid w:val="00286FB7"/>
    <w:rsid w:val="002876F0"/>
    <w:rsid w:val="00290774"/>
    <w:rsid w:val="002931D7"/>
    <w:rsid w:val="00293308"/>
    <w:rsid w:val="00293344"/>
    <w:rsid w:val="00293423"/>
    <w:rsid w:val="002936ED"/>
    <w:rsid w:val="00294B87"/>
    <w:rsid w:val="00295AF5"/>
    <w:rsid w:val="0029689D"/>
    <w:rsid w:val="00297B94"/>
    <w:rsid w:val="002A04A8"/>
    <w:rsid w:val="002A0DF8"/>
    <w:rsid w:val="002A0FCC"/>
    <w:rsid w:val="002A1279"/>
    <w:rsid w:val="002A23FD"/>
    <w:rsid w:val="002A3FDB"/>
    <w:rsid w:val="002A406F"/>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C373F"/>
    <w:rsid w:val="002C3B4A"/>
    <w:rsid w:val="002C5A71"/>
    <w:rsid w:val="002C5F3D"/>
    <w:rsid w:val="002C7A12"/>
    <w:rsid w:val="002D0177"/>
    <w:rsid w:val="002D05FB"/>
    <w:rsid w:val="002D22CB"/>
    <w:rsid w:val="002D2449"/>
    <w:rsid w:val="002D4C31"/>
    <w:rsid w:val="002D50FD"/>
    <w:rsid w:val="002D59F4"/>
    <w:rsid w:val="002D6687"/>
    <w:rsid w:val="002D6761"/>
    <w:rsid w:val="002E061A"/>
    <w:rsid w:val="002E1174"/>
    <w:rsid w:val="002E1BF3"/>
    <w:rsid w:val="002E4415"/>
    <w:rsid w:val="002E4F9D"/>
    <w:rsid w:val="002E51A0"/>
    <w:rsid w:val="002E7D45"/>
    <w:rsid w:val="002E7DCC"/>
    <w:rsid w:val="002F00E5"/>
    <w:rsid w:val="002F0AAC"/>
    <w:rsid w:val="002F10A7"/>
    <w:rsid w:val="002F1190"/>
    <w:rsid w:val="002F1D06"/>
    <w:rsid w:val="002F2D48"/>
    <w:rsid w:val="002F2E75"/>
    <w:rsid w:val="002F549A"/>
    <w:rsid w:val="002F580B"/>
    <w:rsid w:val="002F6B51"/>
    <w:rsid w:val="002F7016"/>
    <w:rsid w:val="002F7AB9"/>
    <w:rsid w:val="002F7C65"/>
    <w:rsid w:val="0030340D"/>
    <w:rsid w:val="003034C4"/>
    <w:rsid w:val="00304B4B"/>
    <w:rsid w:val="00305A44"/>
    <w:rsid w:val="0030643F"/>
    <w:rsid w:val="00307866"/>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37044"/>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3D2E"/>
    <w:rsid w:val="003541A9"/>
    <w:rsid w:val="003554FE"/>
    <w:rsid w:val="00360F40"/>
    <w:rsid w:val="00361A03"/>
    <w:rsid w:val="00361F83"/>
    <w:rsid w:val="003623F7"/>
    <w:rsid w:val="003629D4"/>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6224"/>
    <w:rsid w:val="00386D99"/>
    <w:rsid w:val="00387BE0"/>
    <w:rsid w:val="0039016A"/>
    <w:rsid w:val="003905D3"/>
    <w:rsid w:val="00390B36"/>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3102"/>
    <w:rsid w:val="003B4370"/>
    <w:rsid w:val="003B4CF5"/>
    <w:rsid w:val="003B4D3D"/>
    <w:rsid w:val="003B6506"/>
    <w:rsid w:val="003B73B9"/>
    <w:rsid w:val="003B7D06"/>
    <w:rsid w:val="003B7EA9"/>
    <w:rsid w:val="003C04AE"/>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7B72"/>
    <w:rsid w:val="003D7D4D"/>
    <w:rsid w:val="003E1232"/>
    <w:rsid w:val="003E1241"/>
    <w:rsid w:val="003E20BE"/>
    <w:rsid w:val="003E282A"/>
    <w:rsid w:val="003E380E"/>
    <w:rsid w:val="003E38CF"/>
    <w:rsid w:val="003E5E7D"/>
    <w:rsid w:val="003E6BC3"/>
    <w:rsid w:val="003E79A0"/>
    <w:rsid w:val="003E7DFA"/>
    <w:rsid w:val="003E7EAB"/>
    <w:rsid w:val="003F1A80"/>
    <w:rsid w:val="003F2B9B"/>
    <w:rsid w:val="003F4AB1"/>
    <w:rsid w:val="003F57F1"/>
    <w:rsid w:val="003F58A8"/>
    <w:rsid w:val="003F5C89"/>
    <w:rsid w:val="003F5CD6"/>
    <w:rsid w:val="003F6C41"/>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374ED"/>
    <w:rsid w:val="00440793"/>
    <w:rsid w:val="00441066"/>
    <w:rsid w:val="00441F97"/>
    <w:rsid w:val="00443017"/>
    <w:rsid w:val="00443C92"/>
    <w:rsid w:val="00443F70"/>
    <w:rsid w:val="00445DC1"/>
    <w:rsid w:val="00446276"/>
    <w:rsid w:val="00447B34"/>
    <w:rsid w:val="00451030"/>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1986"/>
    <w:rsid w:val="004827BD"/>
    <w:rsid w:val="00484425"/>
    <w:rsid w:val="00484AF8"/>
    <w:rsid w:val="004855DD"/>
    <w:rsid w:val="00486AC7"/>
    <w:rsid w:val="00490E07"/>
    <w:rsid w:val="00494023"/>
    <w:rsid w:val="004944A2"/>
    <w:rsid w:val="0049538F"/>
    <w:rsid w:val="00495C68"/>
    <w:rsid w:val="0049685D"/>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4258"/>
    <w:rsid w:val="004E4897"/>
    <w:rsid w:val="004E59DD"/>
    <w:rsid w:val="004E6711"/>
    <w:rsid w:val="004E6D7B"/>
    <w:rsid w:val="004E746A"/>
    <w:rsid w:val="004E75A0"/>
    <w:rsid w:val="004E75B2"/>
    <w:rsid w:val="004F07BB"/>
    <w:rsid w:val="004F1540"/>
    <w:rsid w:val="004F155D"/>
    <w:rsid w:val="004F261A"/>
    <w:rsid w:val="004F2A1B"/>
    <w:rsid w:val="004F2DC6"/>
    <w:rsid w:val="004F4388"/>
    <w:rsid w:val="004F4DE7"/>
    <w:rsid w:val="004F60E9"/>
    <w:rsid w:val="004F640E"/>
    <w:rsid w:val="004F7714"/>
    <w:rsid w:val="00500D1E"/>
    <w:rsid w:val="00500F70"/>
    <w:rsid w:val="0050137F"/>
    <w:rsid w:val="00501E5F"/>
    <w:rsid w:val="00502299"/>
    <w:rsid w:val="00502B23"/>
    <w:rsid w:val="0050308C"/>
    <w:rsid w:val="005036F0"/>
    <w:rsid w:val="005039A5"/>
    <w:rsid w:val="00503DE8"/>
    <w:rsid w:val="00506CA1"/>
    <w:rsid w:val="005076D6"/>
    <w:rsid w:val="00510D80"/>
    <w:rsid w:val="005113BB"/>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347"/>
    <w:rsid w:val="00531752"/>
    <w:rsid w:val="005317D1"/>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26F8"/>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6820"/>
    <w:rsid w:val="00577303"/>
    <w:rsid w:val="005816AF"/>
    <w:rsid w:val="00581B1E"/>
    <w:rsid w:val="00581D47"/>
    <w:rsid w:val="005820F1"/>
    <w:rsid w:val="00582BC7"/>
    <w:rsid w:val="00583578"/>
    <w:rsid w:val="0058386E"/>
    <w:rsid w:val="00583E66"/>
    <w:rsid w:val="00584A32"/>
    <w:rsid w:val="00584DEA"/>
    <w:rsid w:val="00586004"/>
    <w:rsid w:val="00586F4D"/>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095"/>
    <w:rsid w:val="005A7293"/>
    <w:rsid w:val="005B0B0E"/>
    <w:rsid w:val="005B3885"/>
    <w:rsid w:val="005B41A4"/>
    <w:rsid w:val="005B7662"/>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619"/>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11AD"/>
    <w:rsid w:val="0060226B"/>
    <w:rsid w:val="00602384"/>
    <w:rsid w:val="00602629"/>
    <w:rsid w:val="0060286B"/>
    <w:rsid w:val="006040CF"/>
    <w:rsid w:val="006054F4"/>
    <w:rsid w:val="00605562"/>
    <w:rsid w:val="00605A30"/>
    <w:rsid w:val="00605AD2"/>
    <w:rsid w:val="00610207"/>
    <w:rsid w:val="006106BC"/>
    <w:rsid w:val="00610A77"/>
    <w:rsid w:val="006110B9"/>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478A"/>
    <w:rsid w:val="006255FA"/>
    <w:rsid w:val="0062618D"/>
    <w:rsid w:val="00626CCF"/>
    <w:rsid w:val="00627CDA"/>
    <w:rsid w:val="00630869"/>
    <w:rsid w:val="00630A00"/>
    <w:rsid w:val="00631D93"/>
    <w:rsid w:val="00633016"/>
    <w:rsid w:val="006336D8"/>
    <w:rsid w:val="00633CB5"/>
    <w:rsid w:val="00633D09"/>
    <w:rsid w:val="00635215"/>
    <w:rsid w:val="00635769"/>
    <w:rsid w:val="006367C0"/>
    <w:rsid w:val="00640121"/>
    <w:rsid w:val="00640591"/>
    <w:rsid w:val="00641593"/>
    <w:rsid w:val="006415C2"/>
    <w:rsid w:val="006418E3"/>
    <w:rsid w:val="00641BB1"/>
    <w:rsid w:val="00643234"/>
    <w:rsid w:val="00643A0E"/>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2274"/>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35B"/>
    <w:rsid w:val="006A4AEF"/>
    <w:rsid w:val="006A594C"/>
    <w:rsid w:val="006A68BF"/>
    <w:rsid w:val="006A69AC"/>
    <w:rsid w:val="006A6B6B"/>
    <w:rsid w:val="006A7D0A"/>
    <w:rsid w:val="006B0BFA"/>
    <w:rsid w:val="006B0E3E"/>
    <w:rsid w:val="006B14B5"/>
    <w:rsid w:val="006B16F7"/>
    <w:rsid w:val="006B179B"/>
    <w:rsid w:val="006B1BCD"/>
    <w:rsid w:val="006B407A"/>
    <w:rsid w:val="006B5472"/>
    <w:rsid w:val="006B6657"/>
    <w:rsid w:val="006B6E10"/>
    <w:rsid w:val="006C0245"/>
    <w:rsid w:val="006C0531"/>
    <w:rsid w:val="006C2ADC"/>
    <w:rsid w:val="006C348C"/>
    <w:rsid w:val="006C54D6"/>
    <w:rsid w:val="006C5D1A"/>
    <w:rsid w:val="006C66BB"/>
    <w:rsid w:val="006C670C"/>
    <w:rsid w:val="006C6D53"/>
    <w:rsid w:val="006C6DD5"/>
    <w:rsid w:val="006C7088"/>
    <w:rsid w:val="006C7E5A"/>
    <w:rsid w:val="006D11E6"/>
    <w:rsid w:val="006D2223"/>
    <w:rsid w:val="006D3566"/>
    <w:rsid w:val="006D3760"/>
    <w:rsid w:val="006D3E9E"/>
    <w:rsid w:val="006D441B"/>
    <w:rsid w:val="006D69B8"/>
    <w:rsid w:val="006D7738"/>
    <w:rsid w:val="006D7B31"/>
    <w:rsid w:val="006D7B99"/>
    <w:rsid w:val="006D7FCA"/>
    <w:rsid w:val="006E1B5E"/>
    <w:rsid w:val="006E25EA"/>
    <w:rsid w:val="006E4E78"/>
    <w:rsid w:val="006E5008"/>
    <w:rsid w:val="006E5A7B"/>
    <w:rsid w:val="006E7829"/>
    <w:rsid w:val="006F0980"/>
    <w:rsid w:val="006F29A5"/>
    <w:rsid w:val="006F42F8"/>
    <w:rsid w:val="006F4701"/>
    <w:rsid w:val="006F4E2B"/>
    <w:rsid w:val="006F5C19"/>
    <w:rsid w:val="006F5DC5"/>
    <w:rsid w:val="006F6AFA"/>
    <w:rsid w:val="006F7348"/>
    <w:rsid w:val="006F7846"/>
    <w:rsid w:val="007001DF"/>
    <w:rsid w:val="00700982"/>
    <w:rsid w:val="00704176"/>
    <w:rsid w:val="00704595"/>
    <w:rsid w:val="00704E6C"/>
    <w:rsid w:val="00706B9E"/>
    <w:rsid w:val="007073E6"/>
    <w:rsid w:val="00707BA1"/>
    <w:rsid w:val="0071183E"/>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1CCB"/>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75AFF"/>
    <w:rsid w:val="0078035D"/>
    <w:rsid w:val="0078080F"/>
    <w:rsid w:val="00780EA0"/>
    <w:rsid w:val="00780FBB"/>
    <w:rsid w:val="00781283"/>
    <w:rsid w:val="007817E0"/>
    <w:rsid w:val="0078368C"/>
    <w:rsid w:val="00783706"/>
    <w:rsid w:val="00783EC3"/>
    <w:rsid w:val="00784B69"/>
    <w:rsid w:val="00786398"/>
    <w:rsid w:val="00786C13"/>
    <w:rsid w:val="00790944"/>
    <w:rsid w:val="00791306"/>
    <w:rsid w:val="007914DF"/>
    <w:rsid w:val="00792358"/>
    <w:rsid w:val="00795316"/>
    <w:rsid w:val="0079559C"/>
    <w:rsid w:val="00797112"/>
    <w:rsid w:val="007972FE"/>
    <w:rsid w:val="007A01FC"/>
    <w:rsid w:val="007A0452"/>
    <w:rsid w:val="007A0AC8"/>
    <w:rsid w:val="007A127C"/>
    <w:rsid w:val="007A15AC"/>
    <w:rsid w:val="007A16BA"/>
    <w:rsid w:val="007A2B06"/>
    <w:rsid w:val="007B0DC1"/>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11D4"/>
    <w:rsid w:val="007D3387"/>
    <w:rsid w:val="007D4C7E"/>
    <w:rsid w:val="007D52A9"/>
    <w:rsid w:val="007D6873"/>
    <w:rsid w:val="007D6954"/>
    <w:rsid w:val="007D7D0D"/>
    <w:rsid w:val="007E1606"/>
    <w:rsid w:val="007E1B7B"/>
    <w:rsid w:val="007E1F07"/>
    <w:rsid w:val="007E4696"/>
    <w:rsid w:val="007E4E02"/>
    <w:rsid w:val="007E5456"/>
    <w:rsid w:val="007E5CBC"/>
    <w:rsid w:val="007E7788"/>
    <w:rsid w:val="007F0010"/>
    <w:rsid w:val="007F0D66"/>
    <w:rsid w:val="007F1D82"/>
    <w:rsid w:val="007F20D3"/>
    <w:rsid w:val="007F2C71"/>
    <w:rsid w:val="007F369E"/>
    <w:rsid w:val="007F3BEB"/>
    <w:rsid w:val="007F4251"/>
    <w:rsid w:val="007F47AA"/>
    <w:rsid w:val="007F5173"/>
    <w:rsid w:val="007F7900"/>
    <w:rsid w:val="00800026"/>
    <w:rsid w:val="00800FD2"/>
    <w:rsid w:val="00801682"/>
    <w:rsid w:val="00802787"/>
    <w:rsid w:val="00802AB6"/>
    <w:rsid w:val="00803FD4"/>
    <w:rsid w:val="00804BD1"/>
    <w:rsid w:val="00806EDB"/>
    <w:rsid w:val="008072CE"/>
    <w:rsid w:val="00810478"/>
    <w:rsid w:val="008108B6"/>
    <w:rsid w:val="00810996"/>
    <w:rsid w:val="00811100"/>
    <w:rsid w:val="00811E7B"/>
    <w:rsid w:val="00813EFB"/>
    <w:rsid w:val="00814166"/>
    <w:rsid w:val="0081490F"/>
    <w:rsid w:val="00815437"/>
    <w:rsid w:val="0081696D"/>
    <w:rsid w:val="008169A0"/>
    <w:rsid w:val="0081770C"/>
    <w:rsid w:val="00817D69"/>
    <w:rsid w:val="0082027B"/>
    <w:rsid w:val="00820EA4"/>
    <w:rsid w:val="00820F11"/>
    <w:rsid w:val="00821C5D"/>
    <w:rsid w:val="00823ED9"/>
    <w:rsid w:val="00824864"/>
    <w:rsid w:val="00826C7B"/>
    <w:rsid w:val="008276F1"/>
    <w:rsid w:val="008315C0"/>
    <w:rsid w:val="00833564"/>
    <w:rsid w:val="00834AF7"/>
    <w:rsid w:val="008350CF"/>
    <w:rsid w:val="008354E3"/>
    <w:rsid w:val="00835512"/>
    <w:rsid w:val="00835A2A"/>
    <w:rsid w:val="00836C81"/>
    <w:rsid w:val="00840521"/>
    <w:rsid w:val="00841469"/>
    <w:rsid w:val="00841946"/>
    <w:rsid w:val="00843ED4"/>
    <w:rsid w:val="0084470E"/>
    <w:rsid w:val="0084662B"/>
    <w:rsid w:val="0085117E"/>
    <w:rsid w:val="00851845"/>
    <w:rsid w:val="0085715B"/>
    <w:rsid w:val="00857347"/>
    <w:rsid w:val="00857E70"/>
    <w:rsid w:val="008617FB"/>
    <w:rsid w:val="008627D9"/>
    <w:rsid w:val="00862837"/>
    <w:rsid w:val="00862D84"/>
    <w:rsid w:val="00862DB2"/>
    <w:rsid w:val="00863E56"/>
    <w:rsid w:val="00863F85"/>
    <w:rsid w:val="00864D8C"/>
    <w:rsid w:val="00864F15"/>
    <w:rsid w:val="008652EC"/>
    <w:rsid w:val="008663F6"/>
    <w:rsid w:val="008713AD"/>
    <w:rsid w:val="00872DEE"/>
    <w:rsid w:val="00874094"/>
    <w:rsid w:val="008746BC"/>
    <w:rsid w:val="0087572A"/>
    <w:rsid w:val="008760C3"/>
    <w:rsid w:val="00876411"/>
    <w:rsid w:val="008777B8"/>
    <w:rsid w:val="00877C3D"/>
    <w:rsid w:val="00880793"/>
    <w:rsid w:val="00880A7D"/>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2D91"/>
    <w:rsid w:val="0089350C"/>
    <w:rsid w:val="008937AB"/>
    <w:rsid w:val="00894224"/>
    <w:rsid w:val="008943B8"/>
    <w:rsid w:val="00894607"/>
    <w:rsid w:val="00896A85"/>
    <w:rsid w:val="008A0588"/>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7A51"/>
    <w:rsid w:val="008E7FF6"/>
    <w:rsid w:val="008F0125"/>
    <w:rsid w:val="008F220E"/>
    <w:rsid w:val="008F335E"/>
    <w:rsid w:val="008F3E26"/>
    <w:rsid w:val="008F3FD3"/>
    <w:rsid w:val="008F4106"/>
    <w:rsid w:val="008F652A"/>
    <w:rsid w:val="008F663C"/>
    <w:rsid w:val="008F6B9B"/>
    <w:rsid w:val="0090004F"/>
    <w:rsid w:val="009000CA"/>
    <w:rsid w:val="00900766"/>
    <w:rsid w:val="009051DB"/>
    <w:rsid w:val="0090540C"/>
    <w:rsid w:val="009068AF"/>
    <w:rsid w:val="0090757F"/>
    <w:rsid w:val="009111AD"/>
    <w:rsid w:val="00912B54"/>
    <w:rsid w:val="00912EAC"/>
    <w:rsid w:val="0091348D"/>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DC"/>
    <w:rsid w:val="00951A71"/>
    <w:rsid w:val="0095285F"/>
    <w:rsid w:val="00953468"/>
    <w:rsid w:val="00953A46"/>
    <w:rsid w:val="00955EE4"/>
    <w:rsid w:val="00956F7E"/>
    <w:rsid w:val="009605EF"/>
    <w:rsid w:val="0096070C"/>
    <w:rsid w:val="0096083D"/>
    <w:rsid w:val="00960C21"/>
    <w:rsid w:val="0096201B"/>
    <w:rsid w:val="00962800"/>
    <w:rsid w:val="00962ADC"/>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6A00"/>
    <w:rsid w:val="00997117"/>
    <w:rsid w:val="0099729C"/>
    <w:rsid w:val="009A0A7F"/>
    <w:rsid w:val="009A0CD1"/>
    <w:rsid w:val="009A0E3C"/>
    <w:rsid w:val="009A2B9B"/>
    <w:rsid w:val="009A2CB3"/>
    <w:rsid w:val="009A3A29"/>
    <w:rsid w:val="009A52CD"/>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A31"/>
    <w:rsid w:val="009D5641"/>
    <w:rsid w:val="009D60AE"/>
    <w:rsid w:val="009D7D74"/>
    <w:rsid w:val="009D7DE9"/>
    <w:rsid w:val="009E0A9C"/>
    <w:rsid w:val="009E3233"/>
    <w:rsid w:val="009E33A6"/>
    <w:rsid w:val="009E340D"/>
    <w:rsid w:val="009E37AA"/>
    <w:rsid w:val="009E3C9A"/>
    <w:rsid w:val="009E5985"/>
    <w:rsid w:val="009E5BC3"/>
    <w:rsid w:val="009E62CE"/>
    <w:rsid w:val="009E653C"/>
    <w:rsid w:val="009E6C1C"/>
    <w:rsid w:val="009E7A39"/>
    <w:rsid w:val="009F0220"/>
    <w:rsid w:val="009F0549"/>
    <w:rsid w:val="009F1033"/>
    <w:rsid w:val="009F222A"/>
    <w:rsid w:val="009F2598"/>
    <w:rsid w:val="009F2C25"/>
    <w:rsid w:val="009F2D91"/>
    <w:rsid w:val="009F368C"/>
    <w:rsid w:val="009F39C5"/>
    <w:rsid w:val="009F3C19"/>
    <w:rsid w:val="009F4E35"/>
    <w:rsid w:val="009F6A43"/>
    <w:rsid w:val="009F6EDA"/>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4B49"/>
    <w:rsid w:val="00A15003"/>
    <w:rsid w:val="00A16097"/>
    <w:rsid w:val="00A2164E"/>
    <w:rsid w:val="00A2465E"/>
    <w:rsid w:val="00A2485D"/>
    <w:rsid w:val="00A26646"/>
    <w:rsid w:val="00A27010"/>
    <w:rsid w:val="00A31034"/>
    <w:rsid w:val="00A31B42"/>
    <w:rsid w:val="00A327EC"/>
    <w:rsid w:val="00A330D8"/>
    <w:rsid w:val="00A331C4"/>
    <w:rsid w:val="00A34DE3"/>
    <w:rsid w:val="00A3590A"/>
    <w:rsid w:val="00A35B45"/>
    <w:rsid w:val="00A35EA6"/>
    <w:rsid w:val="00A368B4"/>
    <w:rsid w:val="00A36979"/>
    <w:rsid w:val="00A36CA5"/>
    <w:rsid w:val="00A37E06"/>
    <w:rsid w:val="00A401D0"/>
    <w:rsid w:val="00A408D0"/>
    <w:rsid w:val="00A408D4"/>
    <w:rsid w:val="00A4320E"/>
    <w:rsid w:val="00A4618A"/>
    <w:rsid w:val="00A465CE"/>
    <w:rsid w:val="00A4668C"/>
    <w:rsid w:val="00A4775E"/>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51BA"/>
    <w:rsid w:val="00A66A5B"/>
    <w:rsid w:val="00A66F8E"/>
    <w:rsid w:val="00A70652"/>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461E"/>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72D"/>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B7993"/>
    <w:rsid w:val="00AC1273"/>
    <w:rsid w:val="00AC1F38"/>
    <w:rsid w:val="00AC2BEA"/>
    <w:rsid w:val="00AC4E29"/>
    <w:rsid w:val="00AC5A7E"/>
    <w:rsid w:val="00AC5BB6"/>
    <w:rsid w:val="00AC5D27"/>
    <w:rsid w:val="00AC5F57"/>
    <w:rsid w:val="00AC6A4B"/>
    <w:rsid w:val="00AC6D6D"/>
    <w:rsid w:val="00AC6F7A"/>
    <w:rsid w:val="00AD0558"/>
    <w:rsid w:val="00AD0C2B"/>
    <w:rsid w:val="00AD12C1"/>
    <w:rsid w:val="00AD34FD"/>
    <w:rsid w:val="00AD3D2C"/>
    <w:rsid w:val="00AD40A2"/>
    <w:rsid w:val="00AD4254"/>
    <w:rsid w:val="00AD4AB7"/>
    <w:rsid w:val="00AD552D"/>
    <w:rsid w:val="00AD636D"/>
    <w:rsid w:val="00AD6EA5"/>
    <w:rsid w:val="00AD76F0"/>
    <w:rsid w:val="00AE053D"/>
    <w:rsid w:val="00AE189F"/>
    <w:rsid w:val="00AE1EB4"/>
    <w:rsid w:val="00AE24A9"/>
    <w:rsid w:val="00AE2F0A"/>
    <w:rsid w:val="00AE3908"/>
    <w:rsid w:val="00AE4768"/>
    <w:rsid w:val="00AE65ED"/>
    <w:rsid w:val="00AE7134"/>
    <w:rsid w:val="00AE7604"/>
    <w:rsid w:val="00AF0206"/>
    <w:rsid w:val="00AF0D5C"/>
    <w:rsid w:val="00AF18B9"/>
    <w:rsid w:val="00AF27C1"/>
    <w:rsid w:val="00AF2957"/>
    <w:rsid w:val="00AF3097"/>
    <w:rsid w:val="00AF469B"/>
    <w:rsid w:val="00AF5782"/>
    <w:rsid w:val="00AF6F72"/>
    <w:rsid w:val="00AF70FA"/>
    <w:rsid w:val="00AF763E"/>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4C95"/>
    <w:rsid w:val="00B264EC"/>
    <w:rsid w:val="00B26561"/>
    <w:rsid w:val="00B2739E"/>
    <w:rsid w:val="00B27DEE"/>
    <w:rsid w:val="00B3152B"/>
    <w:rsid w:val="00B32F56"/>
    <w:rsid w:val="00B3339B"/>
    <w:rsid w:val="00B33978"/>
    <w:rsid w:val="00B33CFB"/>
    <w:rsid w:val="00B33E17"/>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5A4A"/>
    <w:rsid w:val="00B56E53"/>
    <w:rsid w:val="00B57725"/>
    <w:rsid w:val="00B57C10"/>
    <w:rsid w:val="00B609AB"/>
    <w:rsid w:val="00B60D51"/>
    <w:rsid w:val="00B63D41"/>
    <w:rsid w:val="00B642C7"/>
    <w:rsid w:val="00B64424"/>
    <w:rsid w:val="00B66265"/>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7DB"/>
    <w:rsid w:val="00B868DD"/>
    <w:rsid w:val="00B869D1"/>
    <w:rsid w:val="00B86F03"/>
    <w:rsid w:val="00B913EA"/>
    <w:rsid w:val="00B91873"/>
    <w:rsid w:val="00B92483"/>
    <w:rsid w:val="00B933B2"/>
    <w:rsid w:val="00B939AD"/>
    <w:rsid w:val="00B94A75"/>
    <w:rsid w:val="00B95EFC"/>
    <w:rsid w:val="00B95F1B"/>
    <w:rsid w:val="00B97BE7"/>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6614"/>
    <w:rsid w:val="00BC7949"/>
    <w:rsid w:val="00BD0683"/>
    <w:rsid w:val="00BD1D4D"/>
    <w:rsid w:val="00BD2830"/>
    <w:rsid w:val="00BD2D8D"/>
    <w:rsid w:val="00BD35BF"/>
    <w:rsid w:val="00BD3A14"/>
    <w:rsid w:val="00BD43A6"/>
    <w:rsid w:val="00BD48A5"/>
    <w:rsid w:val="00BE022D"/>
    <w:rsid w:val="00BE0312"/>
    <w:rsid w:val="00BE05F1"/>
    <w:rsid w:val="00BE08BB"/>
    <w:rsid w:val="00BE16DB"/>
    <w:rsid w:val="00BE1721"/>
    <w:rsid w:val="00BE25EB"/>
    <w:rsid w:val="00BE2994"/>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28F"/>
    <w:rsid w:val="00C17981"/>
    <w:rsid w:val="00C17C63"/>
    <w:rsid w:val="00C22567"/>
    <w:rsid w:val="00C26477"/>
    <w:rsid w:val="00C267B6"/>
    <w:rsid w:val="00C276B2"/>
    <w:rsid w:val="00C30BD9"/>
    <w:rsid w:val="00C30CDC"/>
    <w:rsid w:val="00C31CA3"/>
    <w:rsid w:val="00C31EB4"/>
    <w:rsid w:val="00C3504A"/>
    <w:rsid w:val="00C3592F"/>
    <w:rsid w:val="00C36445"/>
    <w:rsid w:val="00C37939"/>
    <w:rsid w:val="00C37B86"/>
    <w:rsid w:val="00C41DA5"/>
    <w:rsid w:val="00C42DE2"/>
    <w:rsid w:val="00C45D01"/>
    <w:rsid w:val="00C46312"/>
    <w:rsid w:val="00C468A1"/>
    <w:rsid w:val="00C46BF6"/>
    <w:rsid w:val="00C47533"/>
    <w:rsid w:val="00C5050D"/>
    <w:rsid w:val="00C51C39"/>
    <w:rsid w:val="00C52A35"/>
    <w:rsid w:val="00C52E2C"/>
    <w:rsid w:val="00C536CB"/>
    <w:rsid w:val="00C54173"/>
    <w:rsid w:val="00C54AED"/>
    <w:rsid w:val="00C55CC6"/>
    <w:rsid w:val="00C560D1"/>
    <w:rsid w:val="00C564BF"/>
    <w:rsid w:val="00C57295"/>
    <w:rsid w:val="00C6053B"/>
    <w:rsid w:val="00C608BB"/>
    <w:rsid w:val="00C60A2D"/>
    <w:rsid w:val="00C610B0"/>
    <w:rsid w:val="00C614C4"/>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1F2C"/>
    <w:rsid w:val="00C8253C"/>
    <w:rsid w:val="00C828BC"/>
    <w:rsid w:val="00C82E45"/>
    <w:rsid w:val="00C82F1C"/>
    <w:rsid w:val="00C83171"/>
    <w:rsid w:val="00C83DE3"/>
    <w:rsid w:val="00C84FC9"/>
    <w:rsid w:val="00C8517B"/>
    <w:rsid w:val="00C85393"/>
    <w:rsid w:val="00C861F2"/>
    <w:rsid w:val="00C8683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1844"/>
    <w:rsid w:val="00CB2009"/>
    <w:rsid w:val="00CB2BE1"/>
    <w:rsid w:val="00CB2F7C"/>
    <w:rsid w:val="00CB3754"/>
    <w:rsid w:val="00CB3F19"/>
    <w:rsid w:val="00CB47BE"/>
    <w:rsid w:val="00CB4C6E"/>
    <w:rsid w:val="00CB5187"/>
    <w:rsid w:val="00CB559E"/>
    <w:rsid w:val="00CB5C97"/>
    <w:rsid w:val="00CB62B8"/>
    <w:rsid w:val="00CB706C"/>
    <w:rsid w:val="00CB7A54"/>
    <w:rsid w:val="00CB7D50"/>
    <w:rsid w:val="00CC0CF4"/>
    <w:rsid w:val="00CC1190"/>
    <w:rsid w:val="00CC1FAE"/>
    <w:rsid w:val="00CC2180"/>
    <w:rsid w:val="00CC387E"/>
    <w:rsid w:val="00CC38E8"/>
    <w:rsid w:val="00CD0819"/>
    <w:rsid w:val="00CD1CA9"/>
    <w:rsid w:val="00CD2876"/>
    <w:rsid w:val="00CD2E64"/>
    <w:rsid w:val="00CD38F1"/>
    <w:rsid w:val="00CD41C9"/>
    <w:rsid w:val="00CE144E"/>
    <w:rsid w:val="00CE21A9"/>
    <w:rsid w:val="00CE24A8"/>
    <w:rsid w:val="00CE2C1B"/>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102"/>
    <w:rsid w:val="00D13E38"/>
    <w:rsid w:val="00D15522"/>
    <w:rsid w:val="00D1590B"/>
    <w:rsid w:val="00D20CFF"/>
    <w:rsid w:val="00D20FFF"/>
    <w:rsid w:val="00D21C35"/>
    <w:rsid w:val="00D21E13"/>
    <w:rsid w:val="00D220E9"/>
    <w:rsid w:val="00D221D6"/>
    <w:rsid w:val="00D22D6E"/>
    <w:rsid w:val="00D2312C"/>
    <w:rsid w:val="00D2335A"/>
    <w:rsid w:val="00D25682"/>
    <w:rsid w:val="00D25687"/>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77916"/>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311A"/>
    <w:rsid w:val="00DA5A84"/>
    <w:rsid w:val="00DA7F65"/>
    <w:rsid w:val="00DB0CA4"/>
    <w:rsid w:val="00DB0F11"/>
    <w:rsid w:val="00DB36D0"/>
    <w:rsid w:val="00DB3783"/>
    <w:rsid w:val="00DB3D7A"/>
    <w:rsid w:val="00DB3E06"/>
    <w:rsid w:val="00DB42A4"/>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409"/>
    <w:rsid w:val="00DD6588"/>
    <w:rsid w:val="00DD6D70"/>
    <w:rsid w:val="00DE0661"/>
    <w:rsid w:val="00DE1AB6"/>
    <w:rsid w:val="00DE1DAB"/>
    <w:rsid w:val="00DE1F8B"/>
    <w:rsid w:val="00DE24D5"/>
    <w:rsid w:val="00DE354C"/>
    <w:rsid w:val="00DE401E"/>
    <w:rsid w:val="00DE4420"/>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1F89"/>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12F0"/>
    <w:rsid w:val="00E2315F"/>
    <w:rsid w:val="00E24314"/>
    <w:rsid w:val="00E24CED"/>
    <w:rsid w:val="00E25BFA"/>
    <w:rsid w:val="00E261BF"/>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2E6F"/>
    <w:rsid w:val="00E43602"/>
    <w:rsid w:val="00E43A5F"/>
    <w:rsid w:val="00E4458D"/>
    <w:rsid w:val="00E46001"/>
    <w:rsid w:val="00E52B7E"/>
    <w:rsid w:val="00E54155"/>
    <w:rsid w:val="00E543A5"/>
    <w:rsid w:val="00E54979"/>
    <w:rsid w:val="00E54ABA"/>
    <w:rsid w:val="00E55197"/>
    <w:rsid w:val="00E560E4"/>
    <w:rsid w:val="00E60AB0"/>
    <w:rsid w:val="00E6241B"/>
    <w:rsid w:val="00E64785"/>
    <w:rsid w:val="00E64E2F"/>
    <w:rsid w:val="00E64FF6"/>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3334"/>
    <w:rsid w:val="00E95FDC"/>
    <w:rsid w:val="00E96712"/>
    <w:rsid w:val="00E96724"/>
    <w:rsid w:val="00E969FE"/>
    <w:rsid w:val="00EA0007"/>
    <w:rsid w:val="00EA0C9D"/>
    <w:rsid w:val="00EA3818"/>
    <w:rsid w:val="00EA3A98"/>
    <w:rsid w:val="00EA4093"/>
    <w:rsid w:val="00EA49EE"/>
    <w:rsid w:val="00EA5071"/>
    <w:rsid w:val="00EA7537"/>
    <w:rsid w:val="00EB00C3"/>
    <w:rsid w:val="00EB4215"/>
    <w:rsid w:val="00EB4F7B"/>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6A2F"/>
    <w:rsid w:val="00ED70CE"/>
    <w:rsid w:val="00ED75DA"/>
    <w:rsid w:val="00ED788A"/>
    <w:rsid w:val="00ED7E9F"/>
    <w:rsid w:val="00EE08C7"/>
    <w:rsid w:val="00EE0B8D"/>
    <w:rsid w:val="00EE102F"/>
    <w:rsid w:val="00EE1B1A"/>
    <w:rsid w:val="00EE2274"/>
    <w:rsid w:val="00EE521E"/>
    <w:rsid w:val="00EE5E06"/>
    <w:rsid w:val="00EE7BC6"/>
    <w:rsid w:val="00EF201A"/>
    <w:rsid w:val="00EF29B2"/>
    <w:rsid w:val="00EF3436"/>
    <w:rsid w:val="00EF369E"/>
    <w:rsid w:val="00EF3C50"/>
    <w:rsid w:val="00EF3E7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0274"/>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4505"/>
    <w:rsid w:val="00F3514D"/>
    <w:rsid w:val="00F35A19"/>
    <w:rsid w:val="00F36A36"/>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1B1"/>
    <w:rsid w:val="00F6759D"/>
    <w:rsid w:val="00F67C4F"/>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5283"/>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20E6"/>
    <w:rsid w:val="00FC4FEB"/>
    <w:rsid w:val="00FC5249"/>
    <w:rsid w:val="00FC5AC7"/>
    <w:rsid w:val="00FC66E8"/>
    <w:rsid w:val="00FC73D6"/>
    <w:rsid w:val="00FC74B7"/>
    <w:rsid w:val="00FD16BA"/>
    <w:rsid w:val="00FD34C8"/>
    <w:rsid w:val="00FD46E1"/>
    <w:rsid w:val="00FD5104"/>
    <w:rsid w:val="00FD5579"/>
    <w:rsid w:val="00FD57A6"/>
    <w:rsid w:val="00FD6FDD"/>
    <w:rsid w:val="00FD71D7"/>
    <w:rsid w:val="00FD7AA3"/>
    <w:rsid w:val="00FE0D3F"/>
    <w:rsid w:val="00FE1056"/>
    <w:rsid w:val="00FE1786"/>
    <w:rsid w:val="00FE3738"/>
    <w:rsid w:val="00FE4404"/>
    <w:rsid w:val="00FE531C"/>
    <w:rsid w:val="00FE53C5"/>
    <w:rsid w:val="00FE58FA"/>
    <w:rsid w:val="00FE728C"/>
    <w:rsid w:val="00FE78AA"/>
    <w:rsid w:val="00FE78EA"/>
    <w:rsid w:val="00FF1845"/>
    <w:rsid w:val="00FF1A26"/>
    <w:rsid w:val="00FF1C0F"/>
    <w:rsid w:val="00FF3066"/>
    <w:rsid w:val="00FF4058"/>
    <w:rsid w:val="00FF4DD9"/>
    <w:rsid w:val="00FF50CB"/>
    <w:rsid w:val="00FF5A55"/>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uiPriority="0"/>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uiPriority w:val="99"/>
    <w:qFormat/>
    <w:rsid w:val="00F26581"/>
    <w:pPr>
      <w:keepNext/>
      <w:keepLines/>
      <w:pageBreakBefore/>
      <w:numPr>
        <w:numId w:val="10"/>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uiPriority w:val="99"/>
    <w:qFormat/>
    <w:rsid w:val="00F26581"/>
    <w:pPr>
      <w:keepNext/>
      <w:keepLines/>
      <w:pageBreakBefore/>
      <w:numPr>
        <w:ilvl w:val="1"/>
        <w:numId w:val="10"/>
      </w:numPr>
      <w:tabs>
        <w:tab w:val="left" w:pos="1985"/>
      </w:tabs>
      <w:ind w:left="1985" w:hanging="1985"/>
      <w:outlineLvl w:val="1"/>
    </w:pPr>
    <w:rPr>
      <w:b/>
      <w:bCs/>
      <w:color w:val="990000"/>
      <w:sz w:val="28"/>
      <w:szCs w:val="26"/>
    </w:rPr>
  </w:style>
  <w:style w:type="paragraph" w:styleId="3">
    <w:name w:val="heading 3"/>
    <w:basedOn w:val="a0"/>
    <w:next w:val="a0"/>
    <w:link w:val="3Char"/>
    <w:uiPriority w:val="99"/>
    <w:qFormat/>
    <w:rsid w:val="00F26581"/>
    <w:pPr>
      <w:keepNext/>
      <w:keepLines/>
      <w:pageBreakBefore/>
      <w:numPr>
        <w:ilvl w:val="2"/>
        <w:numId w:val="10"/>
      </w:numPr>
      <w:tabs>
        <w:tab w:val="left" w:pos="1985"/>
      </w:tabs>
      <w:ind w:left="1985" w:hanging="1985"/>
      <w:outlineLvl w:val="2"/>
    </w:pPr>
    <w:rPr>
      <w:b/>
      <w:bCs/>
      <w:color w:val="990000"/>
      <w:sz w:val="28"/>
      <w:szCs w:val="28"/>
    </w:rPr>
  </w:style>
  <w:style w:type="paragraph" w:styleId="4">
    <w:name w:val="heading 4"/>
    <w:basedOn w:val="a0"/>
    <w:next w:val="a0"/>
    <w:link w:val="4Char"/>
    <w:uiPriority w:val="99"/>
    <w:qFormat/>
    <w:rsid w:val="000F40BD"/>
    <w:pPr>
      <w:keepNext/>
      <w:keepLines/>
      <w:numPr>
        <w:ilvl w:val="3"/>
        <w:numId w:val="10"/>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10"/>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10"/>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10"/>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10"/>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10"/>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uiPriority w:val="99"/>
    <w:locked/>
    <w:rsid w:val="00F26581"/>
    <w:rPr>
      <w:rFonts w:ascii="Arial Narrow" w:eastAsia="Times New Roman" w:hAnsi="Arial Narrow"/>
      <w:b/>
      <w:bCs/>
      <w:color w:val="990000"/>
      <w:sz w:val="28"/>
      <w:szCs w:val="26"/>
    </w:rPr>
  </w:style>
  <w:style w:type="character" w:customStyle="1" w:styleId="3Char">
    <w:name w:val="Επικεφαλίδα 3 Char"/>
    <w:link w:val="3"/>
    <w:uiPriority w:val="99"/>
    <w:locked/>
    <w:rsid w:val="00F26581"/>
    <w:rPr>
      <w:rFonts w:ascii="Arial Narrow" w:eastAsia="Times New Roman" w:hAnsi="Arial Narrow"/>
      <w:b/>
      <w:bCs/>
      <w:color w:val="990000"/>
      <w:sz w:val="28"/>
      <w:szCs w:val="28"/>
    </w:rPr>
  </w:style>
  <w:style w:type="character" w:customStyle="1" w:styleId="4Char">
    <w:name w:val="Επικεφαλίδα 4 Char"/>
    <w:link w:val="4"/>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link w:val="5"/>
    <w:uiPriority w:val="99"/>
    <w:locked/>
    <w:rsid w:val="000F40BD"/>
    <w:rPr>
      <w:rFonts w:ascii="Arial Narrow" w:eastAsia="Times New Roman" w:hAnsi="Arial Narrow"/>
      <w:color w:val="990000"/>
      <w:szCs w:val="24"/>
    </w:rPr>
  </w:style>
  <w:style w:type="character" w:customStyle="1" w:styleId="6Char">
    <w:name w:val="Επικεφαλίδα 6 Char"/>
    <w:link w:val="6"/>
    <w:uiPriority w:val="99"/>
    <w:locked/>
    <w:rsid w:val="00882E5E"/>
    <w:rPr>
      <w:rFonts w:ascii="Cambria" w:eastAsia="Times New Roman" w:hAnsi="Cambria"/>
      <w:i/>
      <w:iCs/>
      <w:color w:val="243F60"/>
      <w:szCs w:val="24"/>
    </w:rPr>
  </w:style>
  <w:style w:type="character" w:customStyle="1" w:styleId="7Char">
    <w:name w:val="Επικεφαλίδα 7 Char"/>
    <w:link w:val="7"/>
    <w:uiPriority w:val="99"/>
    <w:locked/>
    <w:rsid w:val="00882E5E"/>
    <w:rPr>
      <w:rFonts w:ascii="Cambria" w:eastAsia="Times New Roman" w:hAnsi="Cambria"/>
      <w:i/>
      <w:iCs/>
      <w:color w:val="404040"/>
      <w:szCs w:val="24"/>
    </w:rPr>
  </w:style>
  <w:style w:type="character" w:customStyle="1" w:styleId="8Char">
    <w:name w:val="Επικεφαλίδα 8 Char"/>
    <w:link w:val="8"/>
    <w:uiPriority w:val="99"/>
    <w:locked/>
    <w:rsid w:val="00882E5E"/>
    <w:rPr>
      <w:rFonts w:ascii="Cambria" w:eastAsia="Times New Roman" w:hAnsi="Cambria"/>
      <w:color w:val="404040"/>
      <w:sz w:val="20"/>
      <w:szCs w:val="20"/>
    </w:rPr>
  </w:style>
  <w:style w:type="character" w:customStyle="1" w:styleId="9Char">
    <w:name w:val="Επικεφαλίδα 9 Char"/>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link w:val="a6"/>
    <w:uiPriority w:val="99"/>
    <w:semiHidden/>
    <w:locked/>
    <w:rsid w:val="00EC4BB4"/>
    <w:rPr>
      <w:rFonts w:ascii="Arial Narrow" w:hAnsi="Arial Narrow" w:cs="Times New Roman"/>
    </w:rPr>
  </w:style>
  <w:style w:type="character" w:styleId="a7">
    <w:name w:val="endnote reference"/>
    <w:uiPriority w:val="99"/>
    <w:semiHidden/>
    <w:locked/>
    <w:rsid w:val="00EC4BB4"/>
    <w:rPr>
      <w:rFonts w:cs="Times New Roman"/>
      <w:vertAlign w:val="superscript"/>
    </w:rPr>
  </w:style>
  <w:style w:type="paragraph" w:styleId="10">
    <w:name w:val="toc 1"/>
    <w:basedOn w:val="a0"/>
    <w:next w:val="a0"/>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99"/>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99"/>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link w:val="a9"/>
    <w:uiPriority w:val="99"/>
    <w:locked/>
    <w:rsid w:val="00DA1744"/>
    <w:rPr>
      <w:rFonts w:ascii="Arial Narrow" w:hAnsi="Arial Narrow"/>
      <w:sz w:val="20"/>
      <w:lang w:eastAsia="el-GR"/>
    </w:rPr>
  </w:style>
  <w:style w:type="table" w:styleId="aa">
    <w:name w:val="Table Grid"/>
    <w:basedOn w:val="a2"/>
    <w:uiPriority w:val="9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link w:val="ab"/>
    <w:uiPriority w:val="99"/>
    <w:semiHidden/>
    <w:locked/>
    <w:rsid w:val="00916BCC"/>
    <w:rPr>
      <w:rFonts w:ascii="Times New Roman" w:hAnsi="Times New Roman"/>
      <w:sz w:val="2"/>
    </w:rPr>
  </w:style>
  <w:style w:type="paragraph" w:styleId="a">
    <w:name w:val="List Bullet"/>
    <w:basedOn w:val="2"/>
    <w:link w:val="Char4"/>
    <w:uiPriority w:val="99"/>
    <w:locked/>
    <w:rsid w:val="00217BEF"/>
    <w:pPr>
      <w:numPr>
        <w:numId w:val="15"/>
      </w:numPr>
      <w:tabs>
        <w:tab w:val="clear" w:pos="709"/>
        <w:tab w:val="left" w:pos="426"/>
      </w:tabs>
    </w:pPr>
  </w:style>
  <w:style w:type="character" w:customStyle="1" w:styleId="Char4">
    <w:name w:val="Λίστα με κουκκίδες Char"/>
    <w:link w:val="a"/>
    <w:uiPriority w:val="99"/>
    <w:locked/>
    <w:rsid w:val="00217BEF"/>
    <w:rPr>
      <w:rFonts w:ascii="Arial Narrow" w:eastAsia="Times New Roman" w:hAnsi="Arial Narrow"/>
      <w:szCs w:val="24"/>
    </w:rPr>
  </w:style>
  <w:style w:type="paragraph" w:styleId="ac">
    <w:name w:val="Balloon Text"/>
    <w:basedOn w:val="a0"/>
    <w:link w:val="Char5"/>
    <w:uiPriority w:val="99"/>
    <w:semiHidden/>
    <w:locked/>
    <w:rsid w:val="00D32BD1"/>
    <w:pPr>
      <w:spacing w:before="0"/>
    </w:pPr>
    <w:rPr>
      <w:rFonts w:ascii="Tahoma" w:hAnsi="Tahoma" w:cs="Tahoma"/>
      <w:sz w:val="16"/>
      <w:szCs w:val="16"/>
    </w:rPr>
  </w:style>
  <w:style w:type="character" w:customStyle="1" w:styleId="Char5">
    <w:name w:val="Κείμενο πλαισίου Char"/>
    <w:link w:val="ac"/>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eastAsia="Times New Roman" w:hAnsi="Arial Narrow" w:cs="Times New Roman"/>
      <w:b/>
      <w:bCs/>
      <w:color w:val="990000"/>
      <w:sz w:val="32"/>
      <w:szCs w:val="28"/>
      <w:shd w:val="clear" w:color="auto" w:fill="D9D9D9"/>
      <w:lang w:bidi="ar-SA"/>
    </w:rPr>
  </w:style>
  <w:style w:type="paragraph" w:styleId="2">
    <w:name w:val="List Bullet 2"/>
    <w:basedOn w:val="a0"/>
    <w:uiPriority w:val="99"/>
    <w:locked/>
    <w:rsid w:val="00154587"/>
    <w:pPr>
      <w:numPr>
        <w:numId w:val="14"/>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0">
    <w:name w:val="List Bullet 4"/>
    <w:basedOn w:val="a0"/>
    <w:uiPriority w:val="99"/>
    <w:semiHidden/>
    <w:locked/>
    <w:rsid w:val="00FD71D7"/>
    <w:pPr>
      <w:tabs>
        <w:tab w:val="num" w:pos="1209"/>
      </w:tabs>
      <w:ind w:left="1209" w:hanging="360"/>
      <w:contextualSpacing/>
    </w:pPr>
  </w:style>
  <w:style w:type="character" w:customStyle="1" w:styleId="Intro2">
    <w:name w:val="Intro 2"/>
    <w:uiPriority w:val="99"/>
    <w:rsid w:val="00E64785"/>
    <w:rPr>
      <w:rFonts w:ascii="Arial Narrow" w:eastAsia="Times New Roman" w:hAnsi="Arial Narrow" w:cs="Times New Roman"/>
      <w:b/>
      <w:bCs/>
      <w:color w:val="990000"/>
      <w:sz w:val="28"/>
      <w:szCs w:val="26"/>
      <w:lang w:bidi="ar-SA"/>
    </w:rPr>
  </w:style>
  <w:style w:type="character" w:styleId="ad">
    <w:name w:val="annotation reference"/>
    <w:uiPriority w:val="99"/>
    <w:semiHidden/>
    <w:locked/>
    <w:rsid w:val="007F0D66"/>
    <w:rPr>
      <w:rFonts w:cs="Times New Roman"/>
      <w:sz w:val="16"/>
      <w:szCs w:val="16"/>
    </w:rPr>
  </w:style>
  <w:style w:type="paragraph" w:styleId="ae">
    <w:name w:val="annotation text"/>
    <w:basedOn w:val="a0"/>
    <w:link w:val="Char6"/>
    <w:uiPriority w:val="99"/>
    <w:semiHidden/>
    <w:locked/>
    <w:rsid w:val="007F0D66"/>
    <w:rPr>
      <w:sz w:val="20"/>
      <w:szCs w:val="20"/>
    </w:rPr>
  </w:style>
  <w:style w:type="character" w:customStyle="1" w:styleId="Char6">
    <w:name w:val="Κείμενο σχολίου Char"/>
    <w:link w:val="ae"/>
    <w:uiPriority w:val="99"/>
    <w:semiHidden/>
    <w:locked/>
    <w:rsid w:val="007F0D66"/>
    <w:rPr>
      <w:rFonts w:ascii="Arial Narrow" w:hAnsi="Arial Narrow" w:cs="Times New Roman"/>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link w:val="af"/>
    <w:uiPriority w:val="99"/>
    <w:semiHidden/>
    <w:locked/>
    <w:rsid w:val="007F0D66"/>
    <w:rPr>
      <w:rFonts w:ascii="Arial Narrow" w:hAnsi="Arial Narrow" w:cs="Times New Roman"/>
      <w:b/>
      <w:bCs/>
    </w:rPr>
  </w:style>
  <w:style w:type="table" w:styleId="-2">
    <w:name w:val="Light List Accent 2"/>
    <w:basedOn w:val="a2"/>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154587"/>
    <w:pPr>
      <w:numPr>
        <w:numId w:val="16"/>
      </w:numPr>
      <w:tabs>
        <w:tab w:val="clear" w:pos="709"/>
        <w:tab w:val="left" w:pos="993"/>
      </w:tabs>
      <w:ind w:left="993"/>
    </w:pPr>
    <w:rPr>
      <w:lang w:val="en-US"/>
    </w:rPr>
  </w:style>
  <w:style w:type="paragraph" w:styleId="af0">
    <w:name w:val="Title"/>
    <w:basedOn w:val="20"/>
    <w:next w:val="a0"/>
    <w:link w:val="Char8"/>
    <w:autoRedefine/>
    <w:uiPriority w:val="99"/>
    <w:qFormat/>
    <w:locked/>
    <w:rsid w:val="004D765B"/>
    <w:pPr>
      <w:numPr>
        <w:ilvl w:val="0"/>
        <w:numId w:val="0"/>
      </w:numPr>
      <w:tabs>
        <w:tab w:val="left" w:pos="426"/>
      </w:tabs>
      <w:ind w:left="425" w:hanging="425"/>
    </w:pPr>
  </w:style>
  <w:style w:type="character" w:customStyle="1" w:styleId="Char8">
    <w:name w:val="Τίτλος Char"/>
    <w:link w:val="af0"/>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af1">
    <w:name w:val="TOC Heading"/>
    <w:basedOn w:val="1"/>
    <w:next w:val="a0"/>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2-5">
    <w:name w:val="Medium Shading 2 Accent 5"/>
    <w:basedOn w:val="a2"/>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FD71D7"/>
    <w:pPr>
      <w:numPr>
        <w:numId w:val="13"/>
      </w:numPr>
      <w:spacing w:before="0" w:after="60" w:line="264" w:lineRule="auto"/>
    </w:pPr>
    <w:rPr>
      <w:sz w:val="20"/>
      <w:szCs w:val="20"/>
    </w:rPr>
  </w:style>
  <w:style w:type="character" w:styleId="af2">
    <w:name w:val="footnote reference"/>
    <w:uiPriority w:val="99"/>
    <w:semiHidden/>
    <w:locked/>
    <w:rsid w:val="00B36F04"/>
    <w:rPr>
      <w:rFonts w:cs="Times New Roman"/>
      <w:vertAlign w:val="superscript"/>
    </w:rPr>
  </w:style>
  <w:style w:type="table" w:customStyle="1" w:styleId="LightList-Accent11">
    <w:name w:val="Light List - Accent 11"/>
    <w:uiPriority w:val="99"/>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E1792F"/>
    <w:pPr>
      <w:numPr>
        <w:numId w:val="11"/>
      </w:numPr>
    </w:pPr>
  </w:style>
  <w:style w:type="numbering" w:customStyle="1" w:styleId="Style1BulletedDarkRed">
    <w:name w:val="Style 1 Bulleted Dark Red"/>
    <w:rsid w:val="00E1792F"/>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Char">
    <w:name w:val="Heading2KE"/>
    <w:pPr>
      <w:numPr>
        <w:numId w:val="11"/>
      </w:numPr>
    </w:pPr>
  </w:style>
  <w:style w:type="numbering" w:customStyle="1" w:styleId="2Char">
    <w:name w:val="Style1BulletedDarkRe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611437">
      <w:bodyDiv w:val="1"/>
      <w:marLeft w:val="0"/>
      <w:marRight w:val="0"/>
      <w:marTop w:val="0"/>
      <w:marBottom w:val="0"/>
      <w:divBdr>
        <w:top w:val="none" w:sz="0" w:space="0" w:color="auto"/>
        <w:left w:val="none" w:sz="0" w:space="0" w:color="auto"/>
        <w:bottom w:val="none" w:sz="0" w:space="0" w:color="auto"/>
        <w:right w:val="none" w:sz="0" w:space="0" w:color="auto"/>
      </w:divBdr>
    </w:div>
    <w:div w:id="1651717184">
      <w:marLeft w:val="0"/>
      <w:marRight w:val="0"/>
      <w:marTop w:val="0"/>
      <w:marBottom w:val="0"/>
      <w:divBdr>
        <w:top w:val="none" w:sz="0" w:space="0" w:color="auto"/>
        <w:left w:val="none" w:sz="0" w:space="0" w:color="auto"/>
        <w:bottom w:val="none" w:sz="0" w:space="0" w:color="auto"/>
        <w:right w:val="none" w:sz="0" w:space="0" w:color="auto"/>
      </w:divBdr>
      <w:divsChild>
        <w:div w:id="1651717200">
          <w:marLeft w:val="288"/>
          <w:marRight w:val="0"/>
          <w:marTop w:val="60"/>
          <w:marBottom w:val="0"/>
          <w:divBdr>
            <w:top w:val="none" w:sz="0" w:space="0" w:color="auto"/>
            <w:left w:val="none" w:sz="0" w:space="0" w:color="auto"/>
            <w:bottom w:val="none" w:sz="0" w:space="0" w:color="auto"/>
            <w:right w:val="none" w:sz="0" w:space="0" w:color="auto"/>
          </w:divBdr>
        </w:div>
        <w:div w:id="1651717205">
          <w:marLeft w:val="288"/>
          <w:marRight w:val="0"/>
          <w:marTop w:val="60"/>
          <w:marBottom w:val="0"/>
          <w:divBdr>
            <w:top w:val="none" w:sz="0" w:space="0" w:color="auto"/>
            <w:left w:val="none" w:sz="0" w:space="0" w:color="auto"/>
            <w:bottom w:val="none" w:sz="0" w:space="0" w:color="auto"/>
            <w:right w:val="none" w:sz="0" w:space="0" w:color="auto"/>
          </w:divBdr>
        </w:div>
        <w:div w:id="1651717211">
          <w:marLeft w:val="288"/>
          <w:marRight w:val="0"/>
          <w:marTop w:val="60"/>
          <w:marBottom w:val="0"/>
          <w:divBdr>
            <w:top w:val="none" w:sz="0" w:space="0" w:color="auto"/>
            <w:left w:val="none" w:sz="0" w:space="0" w:color="auto"/>
            <w:bottom w:val="none" w:sz="0" w:space="0" w:color="auto"/>
            <w:right w:val="none" w:sz="0" w:space="0" w:color="auto"/>
          </w:divBdr>
        </w:div>
      </w:divsChild>
    </w:div>
    <w:div w:id="1651717185">
      <w:marLeft w:val="0"/>
      <w:marRight w:val="0"/>
      <w:marTop w:val="0"/>
      <w:marBottom w:val="0"/>
      <w:divBdr>
        <w:top w:val="none" w:sz="0" w:space="0" w:color="auto"/>
        <w:left w:val="none" w:sz="0" w:space="0" w:color="auto"/>
        <w:bottom w:val="none" w:sz="0" w:space="0" w:color="auto"/>
        <w:right w:val="none" w:sz="0" w:space="0" w:color="auto"/>
      </w:divBdr>
    </w:div>
    <w:div w:id="1651717187">
      <w:marLeft w:val="0"/>
      <w:marRight w:val="0"/>
      <w:marTop w:val="0"/>
      <w:marBottom w:val="0"/>
      <w:divBdr>
        <w:top w:val="none" w:sz="0" w:space="0" w:color="auto"/>
        <w:left w:val="none" w:sz="0" w:space="0" w:color="auto"/>
        <w:bottom w:val="none" w:sz="0" w:space="0" w:color="auto"/>
        <w:right w:val="none" w:sz="0" w:space="0" w:color="auto"/>
      </w:divBdr>
    </w:div>
    <w:div w:id="1651717188">
      <w:marLeft w:val="0"/>
      <w:marRight w:val="0"/>
      <w:marTop w:val="0"/>
      <w:marBottom w:val="0"/>
      <w:divBdr>
        <w:top w:val="none" w:sz="0" w:space="0" w:color="auto"/>
        <w:left w:val="none" w:sz="0" w:space="0" w:color="auto"/>
        <w:bottom w:val="none" w:sz="0" w:space="0" w:color="auto"/>
        <w:right w:val="none" w:sz="0" w:space="0" w:color="auto"/>
      </w:divBdr>
      <w:divsChild>
        <w:div w:id="1651717192">
          <w:marLeft w:val="0"/>
          <w:marRight w:val="0"/>
          <w:marTop w:val="0"/>
          <w:marBottom w:val="0"/>
          <w:divBdr>
            <w:top w:val="none" w:sz="0" w:space="0" w:color="auto"/>
            <w:left w:val="none" w:sz="0" w:space="0" w:color="auto"/>
            <w:bottom w:val="none" w:sz="0" w:space="0" w:color="auto"/>
            <w:right w:val="none" w:sz="0" w:space="0" w:color="auto"/>
          </w:divBdr>
          <w:divsChild>
            <w:div w:id="1651717202">
              <w:marLeft w:val="0"/>
              <w:marRight w:val="0"/>
              <w:marTop w:val="0"/>
              <w:marBottom w:val="0"/>
              <w:divBdr>
                <w:top w:val="none" w:sz="0" w:space="0" w:color="auto"/>
                <w:left w:val="none" w:sz="0" w:space="0" w:color="auto"/>
                <w:bottom w:val="none" w:sz="0" w:space="0" w:color="auto"/>
                <w:right w:val="none" w:sz="0" w:space="0" w:color="auto"/>
              </w:divBdr>
              <w:divsChild>
                <w:div w:id="1651717207">
                  <w:marLeft w:val="0"/>
                  <w:marRight w:val="0"/>
                  <w:marTop w:val="0"/>
                  <w:marBottom w:val="0"/>
                  <w:divBdr>
                    <w:top w:val="none" w:sz="0" w:space="0" w:color="auto"/>
                    <w:left w:val="none" w:sz="0" w:space="0" w:color="auto"/>
                    <w:bottom w:val="none" w:sz="0" w:space="0" w:color="auto"/>
                    <w:right w:val="none" w:sz="0" w:space="0" w:color="auto"/>
                  </w:divBdr>
                  <w:divsChild>
                    <w:div w:id="1651717194">
                      <w:marLeft w:val="0"/>
                      <w:marRight w:val="0"/>
                      <w:marTop w:val="0"/>
                      <w:marBottom w:val="0"/>
                      <w:divBdr>
                        <w:top w:val="none" w:sz="0" w:space="0" w:color="auto"/>
                        <w:left w:val="none" w:sz="0" w:space="0" w:color="auto"/>
                        <w:bottom w:val="none" w:sz="0" w:space="0" w:color="auto"/>
                        <w:right w:val="none" w:sz="0" w:space="0" w:color="auto"/>
                      </w:divBdr>
                      <w:divsChild>
                        <w:div w:id="1651717210">
                          <w:marLeft w:val="0"/>
                          <w:marRight w:val="0"/>
                          <w:marTop w:val="0"/>
                          <w:marBottom w:val="0"/>
                          <w:divBdr>
                            <w:top w:val="none" w:sz="0" w:space="0" w:color="auto"/>
                            <w:left w:val="none" w:sz="0" w:space="0" w:color="auto"/>
                            <w:bottom w:val="none" w:sz="0" w:space="0" w:color="auto"/>
                            <w:right w:val="none" w:sz="0" w:space="0" w:color="auto"/>
                          </w:divBdr>
                          <w:divsChild>
                            <w:div w:id="1651717186">
                              <w:marLeft w:val="0"/>
                              <w:marRight w:val="0"/>
                              <w:marTop w:val="0"/>
                              <w:marBottom w:val="0"/>
                              <w:divBdr>
                                <w:top w:val="none" w:sz="0" w:space="0" w:color="auto"/>
                                <w:left w:val="none" w:sz="0" w:space="0" w:color="auto"/>
                                <w:bottom w:val="none" w:sz="0" w:space="0" w:color="auto"/>
                                <w:right w:val="none" w:sz="0" w:space="0" w:color="auto"/>
                              </w:divBdr>
                              <w:divsChild>
                                <w:div w:id="1651717204">
                                  <w:marLeft w:val="0"/>
                                  <w:marRight w:val="0"/>
                                  <w:marTop w:val="0"/>
                                  <w:marBottom w:val="0"/>
                                  <w:divBdr>
                                    <w:top w:val="none" w:sz="0" w:space="0" w:color="auto"/>
                                    <w:left w:val="none" w:sz="0" w:space="0" w:color="auto"/>
                                    <w:bottom w:val="none" w:sz="0" w:space="0" w:color="auto"/>
                                    <w:right w:val="none" w:sz="0" w:space="0" w:color="auto"/>
                                  </w:divBdr>
                                  <w:divsChild>
                                    <w:div w:id="165171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1717189">
      <w:marLeft w:val="0"/>
      <w:marRight w:val="0"/>
      <w:marTop w:val="0"/>
      <w:marBottom w:val="0"/>
      <w:divBdr>
        <w:top w:val="none" w:sz="0" w:space="0" w:color="auto"/>
        <w:left w:val="none" w:sz="0" w:space="0" w:color="auto"/>
        <w:bottom w:val="none" w:sz="0" w:space="0" w:color="auto"/>
        <w:right w:val="none" w:sz="0" w:space="0" w:color="auto"/>
      </w:divBdr>
    </w:div>
    <w:div w:id="1651717191">
      <w:marLeft w:val="0"/>
      <w:marRight w:val="0"/>
      <w:marTop w:val="0"/>
      <w:marBottom w:val="0"/>
      <w:divBdr>
        <w:top w:val="none" w:sz="0" w:space="0" w:color="auto"/>
        <w:left w:val="none" w:sz="0" w:space="0" w:color="auto"/>
        <w:bottom w:val="none" w:sz="0" w:space="0" w:color="auto"/>
        <w:right w:val="none" w:sz="0" w:space="0" w:color="auto"/>
      </w:divBdr>
    </w:div>
    <w:div w:id="1651717193">
      <w:marLeft w:val="0"/>
      <w:marRight w:val="0"/>
      <w:marTop w:val="0"/>
      <w:marBottom w:val="0"/>
      <w:divBdr>
        <w:top w:val="none" w:sz="0" w:space="0" w:color="auto"/>
        <w:left w:val="none" w:sz="0" w:space="0" w:color="auto"/>
        <w:bottom w:val="none" w:sz="0" w:space="0" w:color="auto"/>
        <w:right w:val="none" w:sz="0" w:space="0" w:color="auto"/>
      </w:divBdr>
    </w:div>
    <w:div w:id="1651717195">
      <w:marLeft w:val="0"/>
      <w:marRight w:val="0"/>
      <w:marTop w:val="0"/>
      <w:marBottom w:val="0"/>
      <w:divBdr>
        <w:top w:val="none" w:sz="0" w:space="0" w:color="auto"/>
        <w:left w:val="none" w:sz="0" w:space="0" w:color="auto"/>
        <w:bottom w:val="none" w:sz="0" w:space="0" w:color="auto"/>
        <w:right w:val="none" w:sz="0" w:space="0" w:color="auto"/>
      </w:divBdr>
    </w:div>
    <w:div w:id="1651717196">
      <w:marLeft w:val="0"/>
      <w:marRight w:val="0"/>
      <w:marTop w:val="0"/>
      <w:marBottom w:val="0"/>
      <w:divBdr>
        <w:top w:val="none" w:sz="0" w:space="0" w:color="auto"/>
        <w:left w:val="none" w:sz="0" w:space="0" w:color="auto"/>
        <w:bottom w:val="none" w:sz="0" w:space="0" w:color="auto"/>
        <w:right w:val="none" w:sz="0" w:space="0" w:color="auto"/>
      </w:divBdr>
    </w:div>
    <w:div w:id="1651717197">
      <w:marLeft w:val="0"/>
      <w:marRight w:val="0"/>
      <w:marTop w:val="0"/>
      <w:marBottom w:val="0"/>
      <w:divBdr>
        <w:top w:val="none" w:sz="0" w:space="0" w:color="auto"/>
        <w:left w:val="none" w:sz="0" w:space="0" w:color="auto"/>
        <w:bottom w:val="none" w:sz="0" w:space="0" w:color="auto"/>
        <w:right w:val="none" w:sz="0" w:space="0" w:color="auto"/>
      </w:divBdr>
    </w:div>
    <w:div w:id="1651717198">
      <w:marLeft w:val="0"/>
      <w:marRight w:val="0"/>
      <w:marTop w:val="0"/>
      <w:marBottom w:val="0"/>
      <w:divBdr>
        <w:top w:val="none" w:sz="0" w:space="0" w:color="auto"/>
        <w:left w:val="none" w:sz="0" w:space="0" w:color="auto"/>
        <w:bottom w:val="none" w:sz="0" w:space="0" w:color="auto"/>
        <w:right w:val="none" w:sz="0" w:space="0" w:color="auto"/>
      </w:divBdr>
    </w:div>
    <w:div w:id="1651717199">
      <w:marLeft w:val="0"/>
      <w:marRight w:val="0"/>
      <w:marTop w:val="0"/>
      <w:marBottom w:val="0"/>
      <w:divBdr>
        <w:top w:val="none" w:sz="0" w:space="0" w:color="auto"/>
        <w:left w:val="none" w:sz="0" w:space="0" w:color="auto"/>
        <w:bottom w:val="none" w:sz="0" w:space="0" w:color="auto"/>
        <w:right w:val="none" w:sz="0" w:space="0" w:color="auto"/>
      </w:divBdr>
    </w:div>
    <w:div w:id="1651717201">
      <w:marLeft w:val="0"/>
      <w:marRight w:val="0"/>
      <w:marTop w:val="0"/>
      <w:marBottom w:val="0"/>
      <w:divBdr>
        <w:top w:val="none" w:sz="0" w:space="0" w:color="auto"/>
        <w:left w:val="none" w:sz="0" w:space="0" w:color="auto"/>
        <w:bottom w:val="none" w:sz="0" w:space="0" w:color="auto"/>
        <w:right w:val="none" w:sz="0" w:space="0" w:color="auto"/>
      </w:divBdr>
    </w:div>
    <w:div w:id="1651717203">
      <w:marLeft w:val="0"/>
      <w:marRight w:val="0"/>
      <w:marTop w:val="0"/>
      <w:marBottom w:val="0"/>
      <w:divBdr>
        <w:top w:val="none" w:sz="0" w:space="0" w:color="auto"/>
        <w:left w:val="none" w:sz="0" w:space="0" w:color="auto"/>
        <w:bottom w:val="none" w:sz="0" w:space="0" w:color="auto"/>
        <w:right w:val="none" w:sz="0" w:space="0" w:color="auto"/>
      </w:divBdr>
    </w:div>
    <w:div w:id="1651717206">
      <w:marLeft w:val="0"/>
      <w:marRight w:val="0"/>
      <w:marTop w:val="0"/>
      <w:marBottom w:val="0"/>
      <w:divBdr>
        <w:top w:val="none" w:sz="0" w:space="0" w:color="auto"/>
        <w:left w:val="none" w:sz="0" w:space="0" w:color="auto"/>
        <w:bottom w:val="none" w:sz="0" w:space="0" w:color="auto"/>
        <w:right w:val="none" w:sz="0" w:space="0" w:color="auto"/>
      </w:divBdr>
    </w:div>
    <w:div w:id="1651717208">
      <w:marLeft w:val="0"/>
      <w:marRight w:val="0"/>
      <w:marTop w:val="0"/>
      <w:marBottom w:val="0"/>
      <w:divBdr>
        <w:top w:val="none" w:sz="0" w:space="0" w:color="auto"/>
        <w:left w:val="none" w:sz="0" w:space="0" w:color="auto"/>
        <w:bottom w:val="none" w:sz="0" w:space="0" w:color="auto"/>
        <w:right w:val="none" w:sz="0" w:space="0" w:color="auto"/>
      </w:divBdr>
    </w:div>
    <w:div w:id="1651717209">
      <w:marLeft w:val="0"/>
      <w:marRight w:val="0"/>
      <w:marTop w:val="0"/>
      <w:marBottom w:val="0"/>
      <w:divBdr>
        <w:top w:val="none" w:sz="0" w:space="0" w:color="auto"/>
        <w:left w:val="none" w:sz="0" w:space="0" w:color="auto"/>
        <w:bottom w:val="none" w:sz="0" w:space="0" w:color="auto"/>
        <w:right w:val="none" w:sz="0" w:space="0" w:color="auto"/>
      </w:divBdr>
    </w:div>
    <w:div w:id="1651717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E6C73-DD84-434C-A86A-D5395AA8A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6</Pages>
  <Words>2143</Words>
  <Characters>11574</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13690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PFletsiou</cp:lastModifiedBy>
  <cp:revision>27</cp:revision>
  <cp:lastPrinted>2015-09-02T13:42:00Z</cp:lastPrinted>
  <dcterms:created xsi:type="dcterms:W3CDTF">2015-10-27T09:25:00Z</dcterms:created>
  <dcterms:modified xsi:type="dcterms:W3CDTF">2015-11-10T10:52:00Z</dcterms:modified>
</cp:coreProperties>
</file>